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97CF69" w14:textId="15B7106C" w:rsidR="007630FE" w:rsidRPr="007E4EDA" w:rsidRDefault="00C57A2D" w:rsidP="00E7232A">
      <w:pPr>
        <w:spacing w:after="200" w:line="360" w:lineRule="auto"/>
        <w:jc w:val="center"/>
        <w:rPr>
          <w:sz w:val="24"/>
          <w:szCs w:val="24"/>
          <w:lang w:val="en-GB"/>
        </w:rPr>
      </w:pPr>
      <w:r>
        <w:rPr>
          <w:b/>
          <w:bCs/>
          <w:sz w:val="24"/>
          <w:szCs w:val="24"/>
          <w:lang w:val="en-GB"/>
        </w:rPr>
        <w:t xml:space="preserve">A chromogenic medium for the enumeration of </w:t>
      </w:r>
      <w:r>
        <w:rPr>
          <w:b/>
          <w:bCs/>
          <w:i/>
          <w:iCs/>
          <w:sz w:val="24"/>
          <w:szCs w:val="24"/>
          <w:lang w:val="en-GB"/>
        </w:rPr>
        <w:t>Escherichia coli</w:t>
      </w:r>
      <w:r>
        <w:rPr>
          <w:b/>
          <w:bCs/>
          <w:sz w:val="24"/>
          <w:szCs w:val="24"/>
          <w:lang w:val="en-GB"/>
        </w:rPr>
        <w:t xml:space="preserve"> and total coliforms in 100 mL water samples: validation of a novel MPN-based method according to ISO 9308-2</w:t>
      </w:r>
    </w:p>
    <w:p w14:paraId="30FCD2E0" w14:textId="2A99CA1E" w:rsidR="007630FE" w:rsidRPr="007E4EDA" w:rsidRDefault="00C20C4E" w:rsidP="00E7232A">
      <w:pPr>
        <w:spacing w:after="100" w:line="360" w:lineRule="auto"/>
        <w:jc w:val="center"/>
        <w:rPr>
          <w:sz w:val="24"/>
          <w:szCs w:val="24"/>
          <w:lang w:val="es-ES"/>
        </w:rPr>
      </w:pPr>
      <w:r>
        <w:rPr>
          <w:sz w:val="24"/>
          <w:szCs w:val="24"/>
          <w:lang w:val="es-ES"/>
        </w:rPr>
        <w:t>Anicet R. Blanch</w:t>
      </w:r>
      <w:r>
        <w:rPr>
          <w:sz w:val="24"/>
          <w:szCs w:val="24"/>
          <w:vertAlign w:val="superscript"/>
          <w:lang w:val="es-ES"/>
        </w:rPr>
        <w:t>1*</w:t>
      </w:r>
      <w:r>
        <w:rPr>
          <w:sz w:val="24"/>
          <w:szCs w:val="24"/>
          <w:lang w:val="es-ES"/>
        </w:rPr>
        <w:t>, Ariadna Jorba</w:t>
      </w:r>
      <w:r>
        <w:rPr>
          <w:sz w:val="24"/>
          <w:szCs w:val="24"/>
          <w:vertAlign w:val="superscript"/>
          <w:lang w:val="es-ES"/>
        </w:rPr>
        <w:t>1</w:t>
      </w:r>
      <w:r>
        <w:rPr>
          <w:sz w:val="24"/>
          <w:szCs w:val="24"/>
          <w:lang w:val="es-ES"/>
        </w:rPr>
        <w:t>, Julia Martín-Díaz</w:t>
      </w:r>
      <w:r>
        <w:rPr>
          <w:sz w:val="24"/>
          <w:szCs w:val="24"/>
          <w:vertAlign w:val="superscript"/>
          <w:lang w:val="es-ES"/>
        </w:rPr>
        <w:t>1</w:t>
      </w:r>
      <w:r>
        <w:rPr>
          <w:sz w:val="24"/>
          <w:szCs w:val="24"/>
          <w:lang w:val="es-ES"/>
        </w:rPr>
        <w:t>, Miriam Pascual-Benito</w:t>
      </w:r>
      <w:r>
        <w:rPr>
          <w:sz w:val="24"/>
          <w:szCs w:val="24"/>
          <w:vertAlign w:val="superscript"/>
          <w:lang w:val="es-ES"/>
        </w:rPr>
        <w:t>1</w:t>
      </w:r>
      <w:r>
        <w:rPr>
          <w:sz w:val="24"/>
          <w:szCs w:val="24"/>
          <w:lang w:val="es-ES"/>
        </w:rPr>
        <w:t>, Raquel Casas-Mangas</w:t>
      </w:r>
      <w:r>
        <w:rPr>
          <w:sz w:val="24"/>
          <w:szCs w:val="24"/>
          <w:vertAlign w:val="superscript"/>
          <w:lang w:val="es-ES"/>
        </w:rPr>
        <w:t>1</w:t>
      </w:r>
      <w:r>
        <w:rPr>
          <w:sz w:val="24"/>
          <w:szCs w:val="24"/>
          <w:lang w:val="es-ES"/>
        </w:rPr>
        <w:t>, Helga Núñez-Chapela</w:t>
      </w:r>
      <w:r>
        <w:rPr>
          <w:sz w:val="24"/>
          <w:szCs w:val="24"/>
          <w:vertAlign w:val="superscript"/>
          <w:lang w:val="es-ES"/>
        </w:rPr>
        <w:t>1,2</w:t>
      </w:r>
      <w:r>
        <w:rPr>
          <w:sz w:val="24"/>
          <w:szCs w:val="24"/>
          <w:lang w:val="es-ES"/>
        </w:rPr>
        <w:t>, Javier Méndez</w:t>
      </w:r>
      <w:r>
        <w:rPr>
          <w:sz w:val="24"/>
          <w:szCs w:val="24"/>
          <w:vertAlign w:val="superscript"/>
          <w:lang w:val="es-ES"/>
        </w:rPr>
        <w:t>1</w:t>
      </w:r>
      <w:r>
        <w:rPr>
          <w:sz w:val="24"/>
          <w:szCs w:val="24"/>
          <w:lang w:val="es-ES"/>
        </w:rPr>
        <w:t>, Daniel Asensio</w:t>
      </w:r>
      <w:r>
        <w:rPr>
          <w:sz w:val="24"/>
          <w:szCs w:val="24"/>
          <w:vertAlign w:val="superscript"/>
          <w:lang w:val="es-ES"/>
        </w:rPr>
        <w:t>2</w:t>
      </w:r>
    </w:p>
    <w:p w14:paraId="6E32AC25" w14:textId="77777777" w:rsidR="007630FE" w:rsidRPr="007E4EDA" w:rsidRDefault="00C57A2D" w:rsidP="00E7232A">
      <w:pPr>
        <w:spacing w:after="60" w:line="360" w:lineRule="auto"/>
        <w:jc w:val="center"/>
        <w:rPr>
          <w:sz w:val="24"/>
          <w:szCs w:val="24"/>
          <w:lang w:val="en-GB"/>
        </w:rPr>
      </w:pPr>
      <w:r>
        <w:rPr>
          <w:sz w:val="24"/>
          <w:szCs w:val="24"/>
          <w:vertAlign w:val="superscript"/>
          <w:lang w:val="en-GB"/>
        </w:rPr>
        <w:t>1</w:t>
      </w:r>
      <w:r>
        <w:rPr>
          <w:sz w:val="24"/>
          <w:szCs w:val="24"/>
          <w:lang w:val="en-GB"/>
        </w:rPr>
        <w:t xml:space="preserve"> Department of Genetics, Microbiology and Statistics, Faculty of Biology, Universitat de Barcelona, Diagonal 643, 08028 Barcelona, Spain</w:t>
      </w:r>
    </w:p>
    <w:p w14:paraId="0DAE971E" w14:textId="4653ABB9" w:rsidR="00E50B8C" w:rsidRPr="007E4EDA" w:rsidRDefault="00554185" w:rsidP="004F5E03">
      <w:pPr>
        <w:spacing w:after="200" w:line="360" w:lineRule="auto"/>
        <w:jc w:val="center"/>
        <w:rPr>
          <w:sz w:val="24"/>
          <w:szCs w:val="24"/>
          <w:lang w:val="es-ES"/>
        </w:rPr>
      </w:pPr>
      <w:r>
        <w:rPr>
          <w:sz w:val="24"/>
          <w:szCs w:val="24"/>
          <w:vertAlign w:val="superscript"/>
          <w:lang w:val="es-ES"/>
        </w:rPr>
        <w:t>2</w:t>
      </w:r>
      <w:r>
        <w:rPr>
          <w:sz w:val="24"/>
          <w:szCs w:val="24"/>
          <w:lang w:val="es-ES"/>
        </w:rPr>
        <w:t xml:space="preserve"> Reactivos para Diagnóstico S.L., Sentmenat, Spain</w:t>
      </w:r>
    </w:p>
    <w:p w14:paraId="340138A4" w14:textId="77777777" w:rsidR="00F42764" w:rsidRPr="007E4EDA" w:rsidRDefault="00F42764" w:rsidP="00E7232A">
      <w:pPr>
        <w:spacing w:after="200" w:line="360" w:lineRule="auto"/>
        <w:jc w:val="center"/>
        <w:rPr>
          <w:sz w:val="24"/>
          <w:szCs w:val="24"/>
          <w:lang w:val="es-ES"/>
        </w:rPr>
      </w:pPr>
    </w:p>
    <w:p w14:paraId="7C03B502" w14:textId="352EDEA7" w:rsidR="007630FE" w:rsidRPr="007E4EDA" w:rsidRDefault="00C57A2D" w:rsidP="00E7232A">
      <w:pPr>
        <w:spacing w:after="300" w:line="360" w:lineRule="auto"/>
        <w:jc w:val="center"/>
        <w:rPr>
          <w:sz w:val="24"/>
          <w:szCs w:val="24"/>
          <w:lang w:val="en-GB"/>
        </w:rPr>
      </w:pPr>
      <w:r>
        <w:rPr>
          <w:i/>
          <w:iCs/>
          <w:sz w:val="24"/>
          <w:szCs w:val="24"/>
          <w:lang w:val="en-GB"/>
        </w:rPr>
        <w:t>* Corresponding author: ablanch@ub.edu</w:t>
      </w:r>
    </w:p>
    <w:p w14:paraId="3543FFD8" w14:textId="77777777" w:rsidR="007630FE" w:rsidRPr="007E4EDA" w:rsidRDefault="00C57A2D" w:rsidP="00E7232A">
      <w:pPr>
        <w:pStyle w:val="Ttol1"/>
        <w:spacing w:before="240" w:after="120" w:line="360" w:lineRule="auto"/>
        <w:rPr>
          <w:lang w:val="en-GB"/>
        </w:rPr>
      </w:pPr>
      <w:r>
        <w:rPr>
          <w:lang w:val="en-GB"/>
        </w:rPr>
        <w:t>ABSTRACT</w:t>
      </w:r>
    </w:p>
    <w:p w14:paraId="756B4F2A" w14:textId="50EBE32A" w:rsidR="007630FE" w:rsidRPr="007E4EDA" w:rsidRDefault="00801244" w:rsidP="1A1BB182">
      <w:pPr>
        <w:spacing w:after="80" w:line="360" w:lineRule="auto"/>
        <w:rPr>
          <w:sz w:val="24"/>
          <w:szCs w:val="24"/>
          <w:lang w:val="en-GB"/>
        </w:rPr>
      </w:pPr>
      <w:r>
        <w:rPr>
          <w:sz w:val="24"/>
          <w:szCs w:val="24"/>
          <w:lang w:val="en-GB"/>
        </w:rPr>
        <w:t xml:space="preserve">Microbiological monitoring of water quality relies mainly on the detection and quantification of </w:t>
      </w:r>
      <w:r>
        <w:rPr>
          <w:i/>
          <w:iCs/>
          <w:sz w:val="24"/>
          <w:szCs w:val="24"/>
          <w:lang w:val="en-GB"/>
        </w:rPr>
        <w:t>Escherichia coli</w:t>
      </w:r>
      <w:r>
        <w:rPr>
          <w:sz w:val="24"/>
          <w:szCs w:val="24"/>
          <w:lang w:val="en-GB"/>
        </w:rPr>
        <w:t xml:space="preserve">, as required by international and European regulatory frameworks, including the EU Directives on drinking water quality, water reuse, and bathing water management. Among the methods commonly applied for </w:t>
      </w:r>
      <w:r>
        <w:rPr>
          <w:i/>
          <w:iCs/>
          <w:sz w:val="24"/>
          <w:szCs w:val="24"/>
          <w:lang w:val="en-GB"/>
        </w:rPr>
        <w:t xml:space="preserve">E. coli </w:t>
      </w:r>
      <w:r>
        <w:rPr>
          <w:sz w:val="24"/>
          <w:szCs w:val="24"/>
          <w:lang w:val="en-GB"/>
        </w:rPr>
        <w:t xml:space="preserve">enumeration, ISO 9308-2 describes a Most Probable Number approach based on the detection of β-D-glucuronidase activity using the fluorogenic substrate 4-methylumbelliferyl-β-D-glucuronide. However, fluorescence detection requires ultraviolet illumination at 365 nm, implying additional equipment requirements and potential occupational exposure concerns. Here, the ENUMERA®Coli100 method for </w:t>
      </w:r>
      <w:r>
        <w:rPr>
          <w:i/>
          <w:iCs/>
          <w:sz w:val="24"/>
          <w:szCs w:val="24"/>
          <w:lang w:val="en-GB"/>
        </w:rPr>
        <w:t xml:space="preserve">E. coli </w:t>
      </w:r>
      <w:r>
        <w:rPr>
          <w:sz w:val="24"/>
          <w:szCs w:val="24"/>
          <w:lang w:val="en-GB"/>
        </w:rPr>
        <w:t xml:space="preserve">and Total Coliforms in 100 mL is presented as a novel complete chromogenic alternative to ISO 9308-2. The method incorporates a chromogenic glucuronic acid derivative that produces a visible green colour reaction under ambient light, eliminating the need for UV irradiation. The dehydrated medium is integrated into a sealed bottle cap through a “twist-and-release” mechanism that minimizes handling steps and reduces contamination risks during sample preparation. Performance was evaluated against ISO 9308-2 using 120 water samples representing five matrices: drinking water, surface water, wastewater, reclaimed water, and seawater. Both methods yielded statistically equivalent results for </w:t>
      </w:r>
      <w:r>
        <w:rPr>
          <w:i/>
          <w:iCs/>
          <w:sz w:val="24"/>
          <w:szCs w:val="24"/>
          <w:lang w:val="en-GB"/>
        </w:rPr>
        <w:t>E. coli</w:t>
      </w:r>
      <w:r>
        <w:rPr>
          <w:sz w:val="24"/>
          <w:szCs w:val="24"/>
          <w:lang w:val="en-GB"/>
        </w:rPr>
        <w:t xml:space="preserve"> and Total Coliforms across all matrices. ENUMERA®-Coli100 demonstrated 100% sensitivity, high specificity and selectivity comparable to ISO 9308-2, excellent linearity, low limits of detection and quantification, and satisfactory accuracy. Validation was performed following ISO 16140-2 and ISO 13843 criteria. ENUMERA®-</w:t>
      </w:r>
      <w:r>
        <w:rPr>
          <w:sz w:val="24"/>
          <w:szCs w:val="24"/>
          <w:lang w:val="en-GB"/>
        </w:rPr>
        <w:lastRenderedPageBreak/>
        <w:t xml:space="preserve">Coli100 constitutes a robust, reliable, and operationally practical alternative for the enumeration of </w:t>
      </w:r>
      <w:r>
        <w:rPr>
          <w:i/>
          <w:iCs/>
          <w:sz w:val="24"/>
          <w:szCs w:val="24"/>
          <w:lang w:val="en-GB"/>
        </w:rPr>
        <w:t xml:space="preserve">E. coli </w:t>
      </w:r>
      <w:r>
        <w:rPr>
          <w:sz w:val="24"/>
          <w:szCs w:val="24"/>
          <w:lang w:val="en-GB"/>
        </w:rPr>
        <w:t>and total coliforms in water samples, simplifying result interpretation, improving laboratory safety, streamlining workflow, and eliminating UV detection equipment.</w:t>
      </w:r>
    </w:p>
    <w:p w14:paraId="30C8F505" w14:textId="77777777" w:rsidR="007630FE" w:rsidRPr="007E4EDA" w:rsidRDefault="00C57A2D" w:rsidP="00E7232A">
      <w:pPr>
        <w:spacing w:after="120" w:line="360" w:lineRule="auto"/>
        <w:jc w:val="both"/>
        <w:rPr>
          <w:sz w:val="24"/>
          <w:szCs w:val="24"/>
          <w:lang w:val="en-GB"/>
        </w:rPr>
      </w:pPr>
      <w:r>
        <w:rPr>
          <w:b/>
          <w:bCs/>
          <w:sz w:val="24"/>
          <w:szCs w:val="24"/>
          <w:lang w:val="en-GB"/>
        </w:rPr>
        <w:t xml:space="preserve">Keywords: </w:t>
      </w:r>
      <w:r>
        <w:rPr>
          <w:i/>
          <w:iCs/>
          <w:sz w:val="24"/>
          <w:szCs w:val="24"/>
          <w:lang w:val="en-GB"/>
        </w:rPr>
        <w:t>Escherichia coli</w:t>
      </w:r>
      <w:r>
        <w:rPr>
          <w:sz w:val="24"/>
          <w:szCs w:val="24"/>
          <w:lang w:val="en-GB"/>
        </w:rPr>
        <w:t>; total coliforms; water quality; MPN method; chromogenic medium; ISO 9308-2; microbial indicators; water safety</w:t>
      </w:r>
    </w:p>
    <w:p w14:paraId="68E6372B" w14:textId="77777777" w:rsidR="007630FE" w:rsidRPr="007E4EDA" w:rsidRDefault="007630FE" w:rsidP="00373AFD">
      <w:pPr>
        <w:spacing w:after="200" w:line="360" w:lineRule="auto"/>
        <w:rPr>
          <w:sz w:val="24"/>
          <w:szCs w:val="24"/>
          <w:lang w:val="en-GB"/>
        </w:rPr>
      </w:pPr>
    </w:p>
    <w:p w14:paraId="3191AF20" w14:textId="4E4BA101" w:rsidR="007630FE" w:rsidRPr="007E4EDA" w:rsidRDefault="00C57A2D" w:rsidP="00B01E19">
      <w:pPr>
        <w:pStyle w:val="Ttol1"/>
        <w:spacing w:before="240" w:after="120" w:line="360" w:lineRule="auto"/>
        <w:rPr>
          <w:lang w:val="en-GB"/>
        </w:rPr>
      </w:pPr>
      <w:r>
        <w:rPr>
          <w:lang w:val="en-GB"/>
        </w:rPr>
        <w:t>1. Introduction</w:t>
      </w:r>
    </w:p>
    <w:p w14:paraId="7EDFE152" w14:textId="6D00DEB6" w:rsidR="00A805FC" w:rsidRPr="007E4EDA" w:rsidRDefault="00A805FC" w:rsidP="00A805FC">
      <w:pPr>
        <w:spacing w:after="80" w:line="360" w:lineRule="auto"/>
        <w:rPr>
          <w:sz w:val="24"/>
          <w:szCs w:val="24"/>
          <w:lang w:val="en-GB"/>
        </w:rPr>
      </w:pPr>
      <w:r>
        <w:rPr>
          <w:sz w:val="24"/>
          <w:szCs w:val="24"/>
          <w:lang w:val="en-GB"/>
        </w:rPr>
        <w:t xml:space="preserve">Faecal contamination of water remains one of the major global threats to public health and is responsible for millions of cases of waterborne disease each year </w:t>
      </w:r>
      <w:r>
        <w:rPr>
          <w:sz w:val="24"/>
          <w:szCs w:val="24"/>
          <w:lang w:val="en-GB"/>
        </w:rPr>
        <w:fldChar w:fldCharType="begin"/>
      </w:r>
      <w:r>
        <w:rPr>
          <w:sz w:val="24"/>
          <w:szCs w:val="24"/>
          <w:lang w:val="en-GB"/>
        </w:rPr>
        <w:instrText xml:space="preserve"> ADDIN ZOTERO_ITEM CSL_CITATION {"citationID":"o0evknOA","properties":{"unsorted":false,"formattedCitation":"(UN-Water, 2021)","plainCitation":"(UN-Water, 2021)","noteIndex":0},"citationItems":[{"id":29361,"uris":["http://zotero.org/users/19779089/items/H893E3N6"],"itemData":{"id":29361,"type":"report","citation-key":"unwater2021","note":"citation-key: unwater2021","publisher":"UN-Water","publisher-place":"Geneva, Switzerland","title":"Summary Progress Update 2021 – SDG 6 – water and sanitation for all","URL":"https://www.unwater.org/sites/default/files/app/uploads/2021/12/SDG-6-Summary-Progress-Update-2021_Version-July-2021a.pdf","author":[{"literal":"UN-Water"}],"issued":{"date-parts":[["2021"]]}}}],"schema":"https://github.com/citation-style-language/schema/raw/master/csl-citation.json"} </w:instrText>
      </w:r>
      <w:r>
        <w:rPr>
          <w:sz w:val="24"/>
          <w:szCs w:val="24"/>
          <w:lang w:val="en-GB"/>
        </w:rPr>
        <w:fldChar w:fldCharType="separate"/>
      </w:r>
      <w:r>
        <w:rPr>
          <w:sz w:val="24"/>
          <w:lang w:val="en-GB"/>
        </w:rPr>
        <w:t>(UN-Water, 2021)</w:t>
      </w:r>
      <w:r>
        <w:rPr>
          <w:sz w:val="24"/>
          <w:szCs w:val="24"/>
          <w:lang w:val="en-GB"/>
        </w:rPr>
        <w:fldChar w:fldCharType="end"/>
      </w:r>
      <w:r>
        <w:rPr>
          <w:sz w:val="24"/>
          <w:szCs w:val="24"/>
          <w:lang w:val="en-GB"/>
        </w:rPr>
        <w:t xml:space="preserve">. Among the microbiological indicators used to assess this risk, </w:t>
      </w:r>
      <w:r>
        <w:rPr>
          <w:i/>
          <w:iCs/>
          <w:sz w:val="24"/>
          <w:szCs w:val="24"/>
          <w:lang w:val="en-GB"/>
        </w:rPr>
        <w:t>Escherichia coli</w:t>
      </w:r>
      <w:r>
        <w:rPr>
          <w:sz w:val="24"/>
          <w:szCs w:val="24"/>
          <w:lang w:val="en-GB"/>
        </w:rPr>
        <w:t xml:space="preserve"> has long been regarded as the reference faecal indicator bacterium owing to its specific association with faecal contamination from warm-blooded animals and its suitability for routine culture-based detection </w:t>
      </w:r>
      <w:r>
        <w:rPr>
          <w:sz w:val="24"/>
          <w:szCs w:val="24"/>
          <w:lang w:val="en-GB"/>
        </w:rPr>
        <w:fldChar w:fldCharType="begin"/>
      </w:r>
      <w:r>
        <w:rPr>
          <w:sz w:val="24"/>
          <w:szCs w:val="24"/>
          <w:lang w:val="en-GB"/>
        </w:rPr>
        <w:instrText xml:space="preserve"> ADDIN ZOTERO_ITEM CSL_CITATION {"citationID":"I3wcz2Iz","properties":{"unsorted":false,"formattedCitation":"(Baudi\\uc0\\u353{}ov\\uc0\\u225{}, 1997; Dufour et al., 1981)","plainCitation":"(Baudišová, 1997; Dufour et al., 1981)","noteIndex":0},"citationItems":[{"id":29324,"uris":["http://zotero.org/users/19779089/items/LJD5TF34"],"itemData":{"id":29324,"type":"article-journal","citation-key":"baudisova1997","container-title":"Water Science and Technology","DOI":"10.2166/wst.1997.0755","issue":"11–12","note":"citation-key: baudisova1997","page":"333–336","title":"Evaluation of &lt;span class=\"nocase\"&gt;Escherichia coli&lt;/span&gt; as the main indicator of faecal pollution","volume":"35","author":[{"family":"Baudišová","given":"D."}],"issued":{"date-parts":[["1997"]]}}},{"id":29333,"uris":["http://zotero.org/users/19779089/items/732MEMX7"],"itemData":{"id":29333,"type":"article-journal","citation-key":"dufour1981","container-title":"Applied and Environmental Microbiology","DOI":"10.1128/aem.41.5.1152-1158.1981","issue":"5","note":"citation-key: dufour1981","page":"1152–1158","title":"Membrane filter method for enumerating &lt;span class=\"nocase\"&gt;Escherichia coli&lt;/span&gt;","volume":"41","author":[{"family":"Dufour","given":"A. P."},{"family":"Strickland","given":"E. R."},{"family":"Cabelli","given":"V. J."}],"issued":{"date-parts":[["1981"]]}}}],"schema":"https://github.com/citation-style-language/schema/raw/master/csl-citation.json"} </w:instrText>
      </w:r>
      <w:r>
        <w:rPr>
          <w:sz w:val="24"/>
          <w:szCs w:val="24"/>
          <w:lang w:val="en-GB"/>
        </w:rPr>
        <w:fldChar w:fldCharType="separate"/>
      </w:r>
      <w:r>
        <w:rPr>
          <w:sz w:val="24"/>
        </w:rPr>
        <w:t>(Baudišová, 1997; Dufour et al., 1981)</w:t>
      </w:r>
      <w:r>
        <w:rPr>
          <w:sz w:val="24"/>
          <w:szCs w:val="24"/>
          <w:lang w:val="en-GB"/>
        </w:rPr>
        <w:fldChar w:fldCharType="end"/>
      </w:r>
      <w:r>
        <w:rPr>
          <w:sz w:val="24"/>
          <w:szCs w:val="24"/>
          <w:lang w:val="en-GB"/>
        </w:rPr>
        <w:t xml:space="preserve">. As a member of the coliform group, defined by the ability to ferment lactose and express β-galactosidase activity, </w:t>
      </w:r>
      <w:r>
        <w:rPr>
          <w:i/>
          <w:iCs/>
          <w:sz w:val="24"/>
          <w:szCs w:val="24"/>
          <w:lang w:val="en-GB"/>
        </w:rPr>
        <w:t>E. coli</w:t>
      </w:r>
      <w:r>
        <w:rPr>
          <w:sz w:val="24"/>
          <w:szCs w:val="24"/>
          <w:lang w:val="en-GB"/>
        </w:rPr>
        <w:t xml:space="preserve"> can be differentiated from other coliform bacteria by its constitutive production of β-D-glucuronidase, an enzymatic activity that is largely specific to this species within the Enterobacteriaceae </w:t>
      </w:r>
      <w:r>
        <w:rPr>
          <w:sz w:val="24"/>
          <w:szCs w:val="24"/>
          <w:lang w:val="en-GB"/>
        </w:rPr>
        <w:fldChar w:fldCharType="begin"/>
      </w:r>
      <w:r>
        <w:rPr>
          <w:sz w:val="24"/>
          <w:szCs w:val="24"/>
          <w:lang w:val="en-GB"/>
        </w:rPr>
        <w:instrText xml:space="preserve"> ADDIN ZOTERO_ITEM CSL_CITATION {"citationID":"Nl1okaOQ","properties":{"unsorted":false,"formattedCitation":"(Blanch et al., 2007; Feng and Hartman, 1982)","plainCitation":"(Blanch et al., 2007; Feng and Hartman, 1982)","noteIndex":0},"citationItems":[{"id":19505,"uris":["http://zotero.org/users/19779089/items/S82D8BT4"],"itemData":{"id":19505,"type":"article-journal","abstract":"Aims: To compare the bacterial coliforms detected from occurrences in three zones of a water distribution system supplied by two separate water sources. Methods and Results: Conventional and standardized protocols for identifying enterobacterial populations were applied. Additional tests to confirm isolates were included. Analyses of diversity and population similarity were performed using the Phene Plate System, a miniaturized biochemical phenotyping method. Isolates were identified by the API 20E system in tandem with biochemical phenotyping. A total of 16 576 samples were taken from the water distribution system, with 1416 isolates analysed. A low number of coliform occurrences were observed (2%). Escherichia coli was not detected in either water origin or in Zone 2 samples; however, in Zones 1 and 3 a low number of cases of E. coli were recorded. The percentages of E. coli depended on the identification criteria. Eight biochemical profiles for coliform populations were defined according to the results of the confirmative tests. There was a high diversity among these populations in the three zones studied, although no significant variations in their composition (associated with occurrences in the different zones) were observed. Klebsiella oxytoca was the most commonly detected species irrespective of zone, although seven other enterobacterial genera were also found. Conclusions: Analysis of the enzymatic activity of beta-glucuronidase or application of the criteria established in the norm ISO 9308-1, in tandem with thermotolerance was needed to evaluate the occurrence of E. coli in the distribution systems. Detected occurrences of bacterial coliforms could be associated with re-growth patterns for specific sampling points in the distribution system. Seasonal differences, independent of the studied zones, were observed. Significance and Impact of the Study: Biochemical phenotyping of bacterial coliforms was shown to be a useful method on the characterization of occurrences in water distribution systems.","citation-key":"blanchCharacterizationBacterialColiform2007","container-title":"JOURNAL OF APPLIED MICROBIOLOGY","DOI":"10.1111/j.1365-2672.2006.03141.x","ISSN":"1364-5072","issue":"3","language":"english","note":"citation-key: blanchCharacterizationBacterialColiform2007","page":"711–721","title":"Characterization of bacterial coliform occurrences in different zones of a drinking water distribution system","volume":"102","author":[{"family":"Blanch","given":"AR"},{"family":"Galofré","given":"B"},{"family":"Lucena","given":"F"},{"family":"Terradillos","given":"A"},{"family":"Vilanova","given":"X"},{"family":"Ribas","given":"F"}],"issued":{"date-parts":[["2007",3]]}}},{"id":29336,"uris":["http://zotero.org/users/19779089/items/DZEBDLIK"],"itemData":{"id":29336,"type":"article-journal","citation-key":"feng1982","container-title":"Applied and Environmental Microbiology","note":"citation-key: feng1982","page":"1320–1329","title":"Fluorogenic assays for immediate confirmation of &lt;span class=\"nocase\"&gt;Escherichia coli&lt;/span&gt;","volume":"43","author":[{"family":"Feng","given":"P. C. S."},{"family":"Hartman","given":"P. A."}],"issued":{"date-parts":[["1982"]]}}}],"schema":"https://github.com/citation-style-language/schema/raw/master/csl-citation.json"} </w:instrText>
      </w:r>
      <w:r>
        <w:rPr>
          <w:sz w:val="24"/>
          <w:szCs w:val="24"/>
          <w:lang w:val="en-GB"/>
        </w:rPr>
        <w:fldChar w:fldCharType="separate"/>
      </w:r>
      <w:r>
        <w:rPr>
          <w:sz w:val="24"/>
          <w:lang w:val="en-GB"/>
        </w:rPr>
        <w:t>(Blanch et al., 2007; Feng and Hartman, 1982)</w:t>
      </w:r>
      <w:r>
        <w:rPr>
          <w:sz w:val="24"/>
          <w:szCs w:val="24"/>
          <w:lang w:val="en-GB"/>
        </w:rPr>
        <w:fldChar w:fldCharType="end"/>
      </w:r>
      <w:r>
        <w:rPr>
          <w:sz w:val="24"/>
          <w:szCs w:val="24"/>
          <w:lang w:val="en-GB"/>
        </w:rPr>
        <w:t xml:space="preserve">. This biochemical distinction underpins modern fluorogenic and chromogenic methods for the detection and enumeration of </w:t>
      </w:r>
      <w:r>
        <w:rPr>
          <w:i/>
          <w:iCs/>
          <w:sz w:val="24"/>
          <w:szCs w:val="24"/>
          <w:lang w:val="en-GB"/>
        </w:rPr>
        <w:t>E. coli</w:t>
      </w:r>
      <w:r>
        <w:rPr>
          <w:sz w:val="24"/>
          <w:szCs w:val="24"/>
          <w:lang w:val="en-GB"/>
        </w:rPr>
        <w:t xml:space="preserve"> in water.</w:t>
      </w:r>
    </w:p>
    <w:p w14:paraId="6DD40471" w14:textId="3B47DE25" w:rsidR="00A805FC" w:rsidRPr="007E4EDA" w:rsidRDefault="00A805FC" w:rsidP="00A805FC">
      <w:pPr>
        <w:spacing w:after="80" w:line="360" w:lineRule="auto"/>
        <w:rPr>
          <w:sz w:val="24"/>
          <w:szCs w:val="24"/>
          <w:lang w:val="en-GB"/>
        </w:rPr>
      </w:pPr>
      <w:r>
        <w:rPr>
          <w:sz w:val="24"/>
          <w:szCs w:val="24"/>
          <w:lang w:val="en-GB"/>
        </w:rPr>
        <w:t xml:space="preserve">The principal international standard methods currently available for the detection and enumeration of </w:t>
      </w:r>
      <w:r>
        <w:rPr>
          <w:i/>
          <w:iCs/>
          <w:sz w:val="24"/>
          <w:szCs w:val="24"/>
          <w:lang w:val="en-GB"/>
        </w:rPr>
        <w:t>E. coli</w:t>
      </w:r>
      <w:r>
        <w:rPr>
          <w:sz w:val="24"/>
          <w:szCs w:val="24"/>
          <w:lang w:val="en-GB"/>
        </w:rPr>
        <w:t xml:space="preserve"> in water include ISO 9308-1 </w:t>
      </w:r>
      <w:r>
        <w:rPr>
          <w:sz w:val="24"/>
          <w:szCs w:val="24"/>
          <w:lang w:val="en-GB"/>
        </w:rPr>
        <w:fldChar w:fldCharType="begin"/>
      </w:r>
      <w:r>
        <w:rPr>
          <w:sz w:val="24"/>
          <w:szCs w:val="24"/>
          <w:lang w:val="en-GB"/>
        </w:rPr>
        <w:instrText xml:space="preserve"> ADDIN ZOTERO_ITEM CSL_CITATION {"citationID":"qiuIJeZM","properties":{"unsorted":false,"formattedCitation":"(International Organization for Standardization, 2014)","plainCitation":"(International Organization for Standardization, 2014)","noteIndex":0},"citationItems":[{"id":29347,"uris":["http://zotero.org/users/19779089/items/UEDHTM8S"],"itemData":{"id":29347,"type":"report","citation-key":"iso9308-1-2014","note":"citation-key: iso9308-1-2014","publisher":"International Organization for Standardization","publisher-place":"Geneva, Switzerland","title":"ISO 9308-1:2014. Water quality — Detection and enumeration of &lt;span class=\"nocase\"&gt;Escherichia coli&lt;/span&gt; and coliform bacteria — Part 1: Membrane filtration method for waters with low bacterial background flora","author":[{"literal":"International Organization for Standardization"}],"issued":{"date-parts":[["2014"]]}}}],"schema":"https://github.com/citation-style-language/schema/raw/master/csl-citation.json"} </w:instrText>
      </w:r>
      <w:r>
        <w:rPr>
          <w:sz w:val="24"/>
          <w:szCs w:val="24"/>
          <w:lang w:val="en-GB"/>
        </w:rPr>
        <w:fldChar w:fldCharType="separate"/>
      </w:r>
      <w:r>
        <w:rPr>
          <w:sz w:val="24"/>
          <w:lang w:val="en-GB"/>
        </w:rPr>
        <w:t>(International Organization for Standardization, 2014)</w:t>
      </w:r>
      <w:r>
        <w:rPr>
          <w:sz w:val="24"/>
          <w:szCs w:val="24"/>
          <w:lang w:val="en-GB"/>
        </w:rPr>
        <w:fldChar w:fldCharType="end"/>
      </w:r>
      <w:r>
        <w:rPr>
          <w:sz w:val="24"/>
          <w:szCs w:val="24"/>
          <w:lang w:val="en-GB"/>
        </w:rPr>
        <w:t xml:space="preserve">, based on membrane filtration for waters with low background flora; ISO 9308-2, based on a Most Probable Number (MPN) format using multi-well trays and applicable to a wide variety of water types, including turbid and heavily loaded samples </w:t>
      </w:r>
      <w:r>
        <w:rPr>
          <w:sz w:val="24"/>
          <w:szCs w:val="24"/>
          <w:lang w:val="en-GB"/>
        </w:rPr>
        <w:fldChar w:fldCharType="begin"/>
      </w:r>
      <w:r>
        <w:rPr>
          <w:sz w:val="24"/>
          <w:szCs w:val="24"/>
          <w:lang w:val="en-GB"/>
        </w:rPr>
        <w:instrText xml:space="preserve"> ADDIN ZOTERO_ITEM CSL_CITATION {"citationID":"s1o29HsG","properties":{"unsorted":false,"formattedCitation":"(International Organization for Standardization, 2012)","plainCitation":"(International Organization for Standardization, 2012)","noteIndex":0},"citationItems":[{"id":29346,"uris":["http://zotero.org/users/19779089/items/CIQX262D"],"itemData":{"id":29346,"type":"report","citation-key":"iso9308-2-2012","note":"citation-key: iso9308-2-2012","publisher":"International Organization for Standardization","publisher-place":"Geneva, Switzerland","title":"ISO 9308-2:2012. Water quality — Enumeration of &lt;span class=\"nocase\"&gt;Escherichia coli&lt;/span&gt; and coliform bacteria — Part 2: Most probable number method","author":[{"literal":"International Organization for Standardization"}],"issued":{"date-parts":[["2012"]]}}}],"schema":"https://github.com/citation-style-language/schema/raw/master/csl-citation.json"} </w:instrText>
      </w:r>
      <w:r>
        <w:rPr>
          <w:sz w:val="24"/>
          <w:szCs w:val="24"/>
          <w:lang w:val="en-GB"/>
        </w:rPr>
        <w:fldChar w:fldCharType="separate"/>
      </w:r>
      <w:r>
        <w:rPr>
          <w:sz w:val="24"/>
          <w:lang w:val="en-GB"/>
        </w:rPr>
        <w:t>(International Organization for Standardization, 2012)</w:t>
      </w:r>
      <w:r>
        <w:rPr>
          <w:sz w:val="24"/>
          <w:szCs w:val="24"/>
          <w:lang w:val="en-GB"/>
        </w:rPr>
        <w:fldChar w:fldCharType="end"/>
      </w:r>
      <w:r>
        <w:rPr>
          <w:sz w:val="24"/>
          <w:szCs w:val="24"/>
          <w:lang w:val="en-GB"/>
        </w:rPr>
        <w:t xml:space="preserve">; and ISO 9308-3, based on a miniaturised liquid-medium format intended for surface and waste waters, especially those containing high levels of suspended matter, but not for drinking water </w:t>
      </w:r>
      <w:r>
        <w:rPr>
          <w:sz w:val="24"/>
          <w:szCs w:val="24"/>
          <w:lang w:val="en-GB"/>
        </w:rPr>
        <w:fldChar w:fldCharType="begin"/>
      </w:r>
      <w:r>
        <w:rPr>
          <w:sz w:val="24"/>
          <w:szCs w:val="24"/>
          <w:lang w:val="en-GB"/>
        </w:rPr>
        <w:instrText xml:space="preserve"> ADDIN ZOTERO_ITEM CSL_CITATION {"citationID":"um7pLcO2","properties":{"unsorted":false,"formattedCitation":"(International Organization for Standardization, 1999)","plainCitation":"(International Organization for Standardization, 1999)","noteIndex":0},"citationItems":[{"id":29345,"uris":["http://zotero.org/users/19779089/items/DEGKNCKF"],"itemData":{"id":29345,"type":"report","citation-key":"iso9308-3-1999","note":"citation-key: iso9308-3-1999","publisher":"International Organization for Standardization","publisher-place":"Geneva, Switzerland","title":"ISO 9308-3:1999. Water quality — Detection and enumeration of &lt;span class=\"nocase\"&gt;Escherichia coli&lt;/span&gt; and coliform bacteria — Part 3: Miniaturized method (Most Probable Number) by inoculation in liquid medium","author":[{"literal":"International Organization for Standardization"}],"issued":{"date-parts":[["1999"]]}}}],"schema":"https://github.com/citation-style-language/schema/raw/master/csl-citation.json"} </w:instrText>
      </w:r>
      <w:r>
        <w:rPr>
          <w:sz w:val="24"/>
          <w:szCs w:val="24"/>
          <w:lang w:val="en-GB"/>
        </w:rPr>
        <w:fldChar w:fldCharType="separate"/>
      </w:r>
      <w:r>
        <w:rPr>
          <w:sz w:val="24"/>
          <w:lang w:val="en-GB"/>
        </w:rPr>
        <w:t>(International Organization for Standardization, 1999)</w:t>
      </w:r>
      <w:r>
        <w:rPr>
          <w:sz w:val="24"/>
          <w:szCs w:val="24"/>
          <w:lang w:val="en-GB"/>
        </w:rPr>
        <w:fldChar w:fldCharType="end"/>
      </w:r>
      <w:r>
        <w:rPr>
          <w:sz w:val="24"/>
          <w:szCs w:val="24"/>
          <w:lang w:val="en-GB"/>
        </w:rPr>
        <w:t xml:space="preserve">. Among these standards, ISO 9308-2 has become one of the most widely adopted methods for the routine assessment of microbiological water quality. This method specifies a selective medium containing two defined substrates: </w:t>
      </w:r>
      <w:r>
        <w:rPr>
          <w:i/>
          <w:iCs/>
          <w:sz w:val="24"/>
          <w:szCs w:val="24"/>
          <w:lang w:val="en-GB"/>
        </w:rPr>
        <w:t>ortho</w:t>
      </w:r>
      <w:r>
        <w:rPr>
          <w:sz w:val="24"/>
          <w:szCs w:val="24"/>
          <w:lang w:val="en-GB"/>
        </w:rPr>
        <w:t xml:space="preserve">-nitrophenyl-β-D-galactopyranoside (ONPG), hydrolysed by the β-galactosidase of coliform </w:t>
      </w:r>
      <w:r>
        <w:rPr>
          <w:sz w:val="24"/>
          <w:szCs w:val="24"/>
          <w:lang w:val="en-GB"/>
        </w:rPr>
        <w:lastRenderedPageBreak/>
        <w:t xml:space="preserve">bacteria to produce a yellow colour, and 4-methylumbelliferyl-β-D-glucuronide (MUG), hydrolysed by the β-glucuronidase of </w:t>
      </w:r>
      <w:r>
        <w:rPr>
          <w:i/>
          <w:iCs/>
          <w:sz w:val="24"/>
          <w:szCs w:val="24"/>
          <w:lang w:val="en-GB"/>
        </w:rPr>
        <w:t>E. coli</w:t>
      </w:r>
      <w:r>
        <w:rPr>
          <w:sz w:val="24"/>
          <w:szCs w:val="24"/>
          <w:lang w:val="en-GB"/>
        </w:rPr>
        <w:t xml:space="preserve"> to release fluorescent 4-methylumbelliferone, detectable under UV illumination at 365 nm. At the same time, the composition of the medium is described in relatively broad and non-specific terms, thereby allowing substantial variation in formulation. Within the European regulatory framework, the EU Drinking Water Directive on the quality of water intended for human consumption (2020/2184), the EU on minimum requirements for water reuse (2020/741) and, the EU Directive concerning the management of bathing water quality (2006/7/EC) and their national transpositions require the use of standardised methods for enumeration of </w:t>
      </w:r>
      <w:r>
        <w:rPr>
          <w:i/>
          <w:iCs/>
          <w:sz w:val="24"/>
          <w:szCs w:val="24"/>
          <w:lang w:val="en-GB"/>
        </w:rPr>
        <w:t>Escherichia coli</w:t>
      </w:r>
      <w:r>
        <w:rPr>
          <w:sz w:val="24"/>
          <w:szCs w:val="24"/>
          <w:lang w:val="en-GB"/>
        </w:rPr>
        <w:t xml:space="preserve"> such as ISO 9308-1 and ISO 9308-3. While the method ISO 9308-2 is not explicitly required by the principal EU water legislation, it is nevertheless widely recognized and implemented across European laboratories as a harmonized ISO standard for the microbiological assessment of drinking water, reclaimed water, and other regulated water matrices. Consequently, this reference method or other validated equivalent methods for routine surveillance are applied by laboratories. In this regard, the current wording of ISO 9308-2 has been regarded by some authors as being closely aligned with the characteristics of certain defined-substrate commercial systems, while nevertheless allowing the validation of alternative equivalent methods within the applicable regulatory framework </w:t>
      </w:r>
      <w:r>
        <w:rPr>
          <w:sz w:val="24"/>
          <w:szCs w:val="24"/>
          <w:lang w:val="en-GB"/>
        </w:rPr>
        <w:fldChar w:fldCharType="begin"/>
      </w:r>
      <w:r>
        <w:rPr>
          <w:sz w:val="24"/>
          <w:szCs w:val="24"/>
          <w:lang w:val="en-GB"/>
        </w:rPr>
        <w:instrText xml:space="preserve"> ADDIN ZOTERO_ITEM CSL_CITATION {"citationID":"hoCICoIX","properties":{"unsorted":false,"formattedCitation":"(Boubetra et al., 2011)","plainCitation":"(Boubetra et al., 2011)","noteIndex":0},"citationItems":[{"id":8565,"uris":["http://zotero.org/users/19779089/items/RYCTSELL"],"itemData":{"id":8565,"type":"article-journal","abstract":"In Europe, the Drinking Water Directive of the European Commission indicates which methods (most of which are CEN/ISO-standardized methods) should be used for the analysis of microbiological parameters (European Commission, Environment, Council Directive 98/83/EC of 3 November 1998). According to the Directive, alternative methods \"may be used, providing it can be demonstrated that the results obtained are at least as reliable as those produced by the methods specified.\" The prerequisite for the routine use of any alternative method is to provide evidence that this method performs equivalently to the corresponding reference method. In this respect, the ISO 16140 standard (ISO, ISO 16140. Microbiology of Food and Animal Feeding Stuffs-Protocol for the Validation of Alternative Methods, 2003) represents a key issue in generating such a procedure based on an interlaboratory study. A new statistical tool, called the accuracy profile, has been developed to better interpret the data. The study presented here is based upon the enumeration of Escherichia coli bacteria in water. The reference method may require up to 72 h to provide a confirmed result. The aim of this publication is to present data for an alternative method by which results can be obtained in 18 h (Colilert-18/Quanti-Tray) based upon defined substrate technology (DST). The accuracy profile is a statistical and graphical decision-making tool and consists of simultaneously combining, in a single graphic, β expectation tolerance intervals (β-ETIs) and acceptability limits (λ). The study presents the validation criteria calculated at the three levels of contamination used in the trial for a β equal to 80% and a λ equal to ±0.3 and combines the accuracy profiles of Escherichia coli for a λ of ±0.3 log10 unit/100 ml, a λ of ±0.4 log10 unit/100 ml, and a β of 80% or 90%. Several interesting conclusions can be drawn from these data. The accuracy profile method has been applied to the validation of the Colilert-18/Quanti-Tray method against reference method ISO 9308-1 (ISO, ISO 9308-1. Water Quality-Detection and Enumeration of Escherichia coli and Coliform Bacteria. Part 1. Membrane Filtration Method, 2000), using a β of 80% and a λ of 0.4; the alternative method can be validated between 1.00 and 2.05 log10 units/100 ml, equivalent to 10 to 112 CFU/100 ml. © 2011, American Society for Microbiology. All Rights Reserved.","citation-key":"boubetraValidationAlternativeMethods2011","container-title":"Applied and Environmental Microbiology","DOI":"10.1128/AEM.00020-11","ISSN":"00992240","issue":"10","note":"citation-key: boubetra2011","page":"3360-3367","PMID":"21441332","title":"Validation of alternative methods for the analysis of drinking water and their application to Escherichia coli","volume":"77","author":[{"family":"Boubetra","given":"Abdelkader"},{"family":"Nestour","given":"François Le"},{"family":"Allaert","given":"Corrie"},{"family":"Feinberg","given":"Max"}],"issued":{"date-parts":[["2011",5]]}}}],"schema":"https://github.com/citation-style-language/schema/raw/master/csl-citation.json"} </w:instrText>
      </w:r>
      <w:r>
        <w:rPr>
          <w:sz w:val="24"/>
          <w:szCs w:val="24"/>
          <w:lang w:val="en-GB"/>
        </w:rPr>
        <w:fldChar w:fldCharType="separate"/>
      </w:r>
      <w:r>
        <w:rPr>
          <w:sz w:val="24"/>
          <w:lang w:val="en-GB"/>
        </w:rPr>
        <w:t>(Boubetra et al., 2011)</w:t>
      </w:r>
      <w:r>
        <w:rPr>
          <w:sz w:val="24"/>
          <w:szCs w:val="24"/>
          <w:lang w:val="en-GB"/>
        </w:rPr>
        <w:fldChar w:fldCharType="end"/>
      </w:r>
      <w:r>
        <w:rPr>
          <w:sz w:val="24"/>
          <w:szCs w:val="24"/>
          <w:lang w:val="en-GB"/>
        </w:rPr>
        <w:t>.</w:t>
      </w:r>
    </w:p>
    <w:p w14:paraId="79BB546A" w14:textId="60CDC462" w:rsidR="00A805FC" w:rsidRPr="007E4EDA" w:rsidRDefault="00A805FC" w:rsidP="00A805FC">
      <w:pPr>
        <w:spacing w:after="80" w:line="360" w:lineRule="auto"/>
        <w:rPr>
          <w:sz w:val="24"/>
          <w:szCs w:val="24"/>
          <w:lang w:val="en-GB"/>
        </w:rPr>
      </w:pPr>
      <w:r>
        <w:rPr>
          <w:sz w:val="24"/>
          <w:szCs w:val="24"/>
          <w:lang w:val="en-GB"/>
        </w:rPr>
        <w:t xml:space="preserve">A wide range of media and test formats has been developed for the detection and enumeration of </w:t>
      </w:r>
      <w:r>
        <w:rPr>
          <w:i/>
          <w:iCs/>
          <w:sz w:val="24"/>
          <w:szCs w:val="24"/>
          <w:lang w:val="en-GB"/>
        </w:rPr>
        <w:t>E. coli</w:t>
      </w:r>
      <w:r>
        <w:rPr>
          <w:sz w:val="24"/>
          <w:szCs w:val="24"/>
          <w:lang w:val="en-GB"/>
        </w:rPr>
        <w:t xml:space="preserve">, many of them relying on fluorogenic substrates for the detection of β-glucuronidase activity </w:t>
      </w:r>
      <w:r>
        <w:rPr>
          <w:sz w:val="24"/>
          <w:szCs w:val="24"/>
          <w:lang w:val="en-GB"/>
        </w:rPr>
        <w:fldChar w:fldCharType="begin"/>
      </w:r>
      <w:r>
        <w:rPr>
          <w:sz w:val="24"/>
          <w:szCs w:val="24"/>
          <w:lang w:val="en-GB"/>
        </w:rPr>
        <w:instrText xml:space="preserve"> ADDIN ZOTERO_ITEM CSL_CITATION {"citationID":"7FLnd3xI","properties":{"unsorted":false,"formattedCitation":"(Olstadt et al., 2007)","plainCitation":"(Olstadt et al., 2007)","noteIndex":0},"citationItems":[{"id":29356,"uris":["http://zotero.org/users/19779089/items/UNVMFRWC"],"itemData":{"id":29356,"type":"article-journal","citation-key":"olstadt2007","container-title":"Journal of Water and Health","issue":"2","note":"citation-key: olstadt2007","page":"267–282","title":"A comparison of ten USEPA approved total coliform/&lt;span class=\"nocase\"&gt;E. coli&lt;/span&gt; tests","volume":"5","author":[{"family":"Olstadt","given":"J."},{"family":"Schauer","given":"J. J."},{"family":"Standridge","given":"J."},{"family":"Kluender","given":"S."}],"issued":{"date-parts":[["2007"]]}}}],"schema":"https://github.com/citation-style-language/schema/raw/master/csl-citation.json"} </w:instrText>
      </w:r>
      <w:r>
        <w:rPr>
          <w:sz w:val="24"/>
          <w:szCs w:val="24"/>
          <w:lang w:val="en-GB"/>
        </w:rPr>
        <w:fldChar w:fldCharType="separate"/>
      </w:r>
      <w:r>
        <w:rPr>
          <w:sz w:val="24"/>
          <w:lang w:val="en-GB"/>
        </w:rPr>
        <w:t>(Olstadt et al., 2007)</w:t>
      </w:r>
      <w:r>
        <w:rPr>
          <w:sz w:val="24"/>
          <w:szCs w:val="24"/>
          <w:lang w:val="en-GB"/>
        </w:rPr>
        <w:fldChar w:fldCharType="end"/>
      </w:r>
      <w:r>
        <w:rPr>
          <w:sz w:val="24"/>
          <w:szCs w:val="24"/>
          <w:lang w:val="en-GB"/>
        </w:rPr>
        <w:t xml:space="preserve">. Although these systems are analytically robust, their dependence on UV illumination for result interpretation introduces additional equipment requirements, maintenance needs, and practical constraints in routine laboratory use. By contrast, chromogenic substrates based on indoxyl derivatives, such as 5-bromo-4-chloro-3-indolyl-β-D-glucuronide (X-Gluc), generate a visible blue-green precipitate under ambient light following hydrolysis by β-glucuronidase, thus offering an attractive alternative to fluorogenic detection </w:t>
      </w:r>
      <w:r>
        <w:rPr>
          <w:sz w:val="24"/>
          <w:szCs w:val="24"/>
          <w:lang w:val="en-GB"/>
        </w:rPr>
        <w:fldChar w:fldCharType="begin"/>
      </w:r>
      <w:r>
        <w:rPr>
          <w:sz w:val="24"/>
          <w:szCs w:val="24"/>
          <w:lang w:val="en-GB"/>
        </w:rPr>
        <w:instrText xml:space="preserve"> ADDIN ZOTERO_ITEM CSL_CITATION {"citationID":"bqrUDpPR","properties":{"unsorted":false,"formattedCitation":"(Blackburn et al., 2023; Fricker et al., 1997; Manafi, 2000; Olstadt et al., 2007)","plainCitation":"(Blackburn et al., 2023; Fricker et al., 1997; Manafi, 2000; Olstadt et al., 2007)","noteIndex":0},"citationItems":[{"id":19491,"uris":["http://zotero.org/users/19779089/items/SJT7CZDW"],"itemData":{"id":19491,"type":"article-journal","abstract":"BACKGROUND: The AquaCHROM™ ECC method from CHROMagar is intended for the detection and enumeration of Escherichia coli and coliform bacteria in 100 mL water samples after 18-24 h of incubation at 35-37°C. OBJECTIVE: To validate the AquaCHROM ECC method for qualitative and quantitative detection of E. coli and coliforms with different water matrixes. METHODS: Inclusivity/exclusivity studies were conducted. AquaCHROM ECC was compared to U.S. cultural reference methods in unpaired matrix studies for detection of E. coli and coliforms in tap water, well water, lake water, and bottled water, and for enumeration in tap water, well water, and lake water. Three production lots of AquaCHROM ECC were tested for product consistency and stability. Variations in incubation time and temperature were evaluated in robustness testing. RESULTS: Inclusivity/exclusivity results demonstrated expected performance with the exception of three strains of Salmonella enterica, two species of Shigella, and one strain of Aeromonas, which turned the media blue or yellow. Results from the matrix studies demonstrated that AquaCHROM ECC and the reference methods are not statistically different for detection of E. coli and coliforms and statistically equivalent for enumeration of E. coli and coliforms. The AquaCHROM ECC powder production was proven to be consistent with a 24-month shelf life. Variation in temperature did not affect the method performance. Shortening the incubation time is not recommended. CONCLUSION: AquaCHROM ECC is an effective method for the detection and enumeration of E. coli and coliforms for the water matrixes evaluated. HIGHLIGHTS: The AquaCHROM ECC method is a quick, one-step method for the recovery and enumeration of E. coli and coliforms in 100 mL water samples. It is a non-agar-based chromogenic medium which provides a clear result without the use of a UV lamp.","citation-key":"blackburnValidationAquaCHROMECC2023","container-title":"Journal of AOAC International","DOI":"10.1093/jaoacint/qsac120","ISSN":"19447922","issue":"3","note":"citation-key: blackburnValidationAquaCHROMECC2023","page":"678–689","PMID":"36222550","publisher":"NLM (Medline)","title":"Validation of the AquaCHROM™ ECC for the Detection and Enumeration of Coliforms and Escherichia coli in Water Samples: AOAC Performance Tested MethodSM 072202","volume":"106","author":[{"family":"Blackburn","given":"Jonathan"},{"family":"Deterding","given":"Andrew"},{"family":"Thompson","given":"Wesley"},{"family":"Benzinger","given":"M. Joseph"},{"family":"Bastin","given":"Benjamin"},{"family":"Evrard","given":"Julie"},{"family":"Wentrup","given":"Cecilia"},{"family":"Michon","given":"Christophe"},{"family":"Cruz Ramos","given":"Hugo"}],"issued":{"date-parts":[["2023",5]]}}},{"id":29339,"uris":["http://zotero.org/users/19779089/items/NGKH3QQA"],"itemData":{"id":29339,"type":"article-journal","citation-key":"fricker1997","container-title":"Journal of the American Water Works Association","note":"citation-key: fricker1997","page":"131–136","title":"Using IDEXX Colilert and Quantitray for the simultaneous detection and enumeration of total coliforms and &lt;span class=\"nocase\"&gt;E. coli&lt;/span&gt;","volume":"89","author":[{"family":"Fricker","given":"E. J."},{"family":"Iliffe","given":"M."},{"family":"Fricker","given":"C. R."}],"issued":{"date-parts":[["1997"]]}}},{"id":2256,"uris":["http://zotero.org/users/19779089/items/FTMIWV5B"],"itemData":{"id":2256,"type":"article-journal","abstract":"This review describes some recent developments in chromogenic and fluorogenic culture media in microbiological diagnostic. The detection of beta-D-glucuronidase (GUD) activity for enumeration of Escherichia coli is well known. E. coli O157:H7 strains are usually GUD-negative and do not ferment sorbitol. These characteristics are used in selective media for these organisms and new chromogenic media are available. Some of the new chromogenic media make the Salmonella diagnostic easier and faster. The use of chromogenic and fluorogenic substrates for detection of beta-D-glucosidase (beta-GLU) activity to differentiate enterococci has received considerable attention and new media are described. Rapid detection of Clostridium perfringens, Listeria monocytogenes, Bacillus cereus and Staphylococcus aureus are other application of enzyme detection methods in food and water microbiology","citation-key":"manafiNewDevelopmentsChromogenic2000","container-title":"INTERNATIONAL JOURNAL OF FOOD MICROBIOLOGY","DOI":"10.1016/S0168-1605(00)00312-3","issue":"2-3","note":"citation-key: manafiNewDevelopmentsChromogenic2000","page":"205-218","publisher-place":"Hygiene Institute, University of Vienna, Kinderspitalgasse 15, A-1095, Vienna, Austria","title":"New developments in chromogenic and fluorogenic culture media","volume":"60","author":[{"family":"Manafi","given":"M"}],"issued":{"date-parts":[["2000",9,25]]}}},{"id":29356,"uris":["http://zotero.org/users/19779089/items/UNVMFRWC"],"itemData":{"id":29356,"type":"article-journal","citation-key":"olstadt2007","container-title":"Journal of Water and Health","issue":"2","note":"citation-key: olstadt2007","page":"267–282","title":"A comparison of ten USEPA approved total coliform/&lt;span class=\"nocase\"&gt;E. coli&lt;/span&gt; tests","volume":"5","author":[{"family":"Olstadt","given":"J."},{"family":"Schauer","given":"J. J."},{"family":"Standridge","given":"J."},{"family":"Kluender","given":"S."}],"issued":{"date-parts":[["2007"]]}}}],"schema":"https://github.com/citation-style-language/schema/raw/master/csl-citation.json"} </w:instrText>
      </w:r>
      <w:r>
        <w:rPr>
          <w:sz w:val="24"/>
          <w:szCs w:val="24"/>
          <w:lang w:val="en-GB"/>
        </w:rPr>
        <w:fldChar w:fldCharType="separate"/>
      </w:r>
      <w:r>
        <w:rPr>
          <w:sz w:val="24"/>
          <w:lang w:val="en-GB"/>
        </w:rPr>
        <w:t>(Blackburn et al., 2023; Fricker et al., 1997; Manafi, 2000; Olstadt et al., 2007)</w:t>
      </w:r>
      <w:r>
        <w:rPr>
          <w:sz w:val="24"/>
          <w:szCs w:val="24"/>
          <w:lang w:val="en-GB"/>
        </w:rPr>
        <w:fldChar w:fldCharType="end"/>
      </w:r>
      <w:r>
        <w:rPr>
          <w:sz w:val="24"/>
          <w:szCs w:val="24"/>
          <w:lang w:val="en-GB"/>
        </w:rPr>
        <w:t xml:space="preserve">. This principle has already been applied successfully in both solid media and liquid MPN formats. In particular, the AquaCHROM ECC method demonstrated that a non-agar-based chromogenic medium can provide detection and enumeration of coliforms and </w:t>
      </w:r>
      <w:r>
        <w:rPr>
          <w:i/>
          <w:iCs/>
          <w:sz w:val="24"/>
          <w:szCs w:val="24"/>
          <w:lang w:val="en-GB"/>
        </w:rPr>
        <w:t>E. coli</w:t>
      </w:r>
      <w:r>
        <w:rPr>
          <w:sz w:val="24"/>
          <w:szCs w:val="24"/>
          <w:lang w:val="en-GB"/>
        </w:rPr>
        <w:t xml:space="preserve"> in 100 mL water samples without UV-based reading, thereby representing an important precedent in the development of practical chromogenic alternatives for routine water analysis </w:t>
      </w:r>
      <w:r>
        <w:rPr>
          <w:sz w:val="24"/>
          <w:szCs w:val="24"/>
          <w:lang w:val="en-GB"/>
        </w:rPr>
        <w:fldChar w:fldCharType="begin"/>
      </w:r>
      <w:r>
        <w:rPr>
          <w:sz w:val="24"/>
          <w:szCs w:val="24"/>
          <w:lang w:val="en-GB"/>
        </w:rPr>
        <w:instrText xml:space="preserve"> ADDIN ZOTERO_ITEM CSL_CITATION {"citationID":"iPsZ6Yky","properties":{"unsorted":false,"formattedCitation":"(Blackburn et al., 2023)","plainCitation":"(Blackburn et al., 2023)","noteIndex":0},"citationItems":[{"id":19491,"uris":["http://zotero.org/users/19779089/items/SJT7CZDW"],"itemData":{"id":19491,"type":"article-journal","abstract":"BACKGROUND: The AquaCHROM™ ECC method from CHROMagar is intended for the detection and enumeration of Escherichia coli and coliform bacteria in 100 mL water samples after 18-24 h of incubation at 35-37°C. OBJECTIVE: To validate the AquaCHROM ECC method for qualitative and quantitative detection of E. coli and coliforms with different water matrixes. METHODS: Inclusivity/exclusivity studies were conducted. AquaCHROM ECC was compared to U.S. cultural reference methods in unpaired matrix studies for detection of E. coli and coliforms in tap water, well water, lake water, and bottled water, and for enumeration in tap water, well water, and lake water. Three production lots of AquaCHROM ECC were tested for product consistency and stability. Variations in incubation time and temperature were evaluated in robustness testing. RESULTS: Inclusivity/exclusivity results demonstrated expected performance with the exception of three strains of Salmonella enterica, two species of Shigella, and one strain of Aeromonas, which turned the media blue or yellow. Results from the matrix studies demonstrated that AquaCHROM ECC and the reference methods are not statistically different for detection of E. coli and coliforms and statistically equivalent for enumeration of E. coli and coliforms. The AquaCHROM ECC powder production was proven to be consistent with a 24-month shelf life. Variation in temperature did not affect the method performance. Shortening the incubation time is not recommended. CONCLUSION: AquaCHROM ECC is an effective method for the detection and enumeration of E. coli and coliforms for the water matrixes evaluated. HIGHLIGHTS: The AquaCHROM ECC method is a quick, one-step method for the recovery and enumeration of E. coli and coliforms in 100 mL water samples. It is a non-agar-based chromogenic medium which provides a clear result without the use of a UV lamp.","citation-key":"blackburnValidationAquaCHROMECC2023","container-title":"Journal of AOAC International","DOI":"10.1093/jaoacint/qsac120","ISSN":"19447922","issue":"3","note":"citation-key: blackburnValidationAquaCHROMECC2023","page":"678–689","PMID":"36222550","publisher":"NLM (Medline)","title":"Validation of the AquaCHROM™ ECC for the Detection and Enumeration of Coliforms and Escherichia coli in Water Samples: AOAC Performance Tested MethodSM 072202","volume":"106","author":[{"family":"Blackburn","given":"Jonathan"},{"family":"Deterding","given":"Andrew"},{"family":"Thompson","given":"Wesley"},{"family":"Benzinger","given":"M. Joseph"},{"family":"Bastin","given":"Benjamin"},{"family":"Evrard","given":"Julie"},{"family":"Wentrup","given":"Cecilia"},{"family":"Michon","given":"Christophe"},{"family":"Cruz Ramos","given":"Hugo"}],"issued":{"date-parts":[["2023",5]]}}}],"schema":"https://github.com/citation-style-language/schema/raw/master/csl-citation.json"} </w:instrText>
      </w:r>
      <w:r>
        <w:rPr>
          <w:sz w:val="24"/>
          <w:szCs w:val="24"/>
          <w:lang w:val="en-GB"/>
        </w:rPr>
        <w:fldChar w:fldCharType="separate"/>
      </w:r>
      <w:r>
        <w:rPr>
          <w:sz w:val="24"/>
          <w:lang w:val="en-GB"/>
        </w:rPr>
        <w:t>(Blackburn et al., 2023)</w:t>
      </w:r>
      <w:r>
        <w:rPr>
          <w:sz w:val="24"/>
          <w:szCs w:val="24"/>
          <w:lang w:val="en-GB"/>
        </w:rPr>
        <w:fldChar w:fldCharType="end"/>
      </w:r>
      <w:r>
        <w:rPr>
          <w:sz w:val="24"/>
          <w:szCs w:val="24"/>
          <w:lang w:val="en-GB"/>
        </w:rPr>
        <w:t xml:space="preserve">. However, there remains scope for formats that combine </w:t>
      </w:r>
      <w:r>
        <w:rPr>
          <w:sz w:val="24"/>
          <w:szCs w:val="24"/>
          <w:lang w:val="en-GB"/>
        </w:rPr>
        <w:lastRenderedPageBreak/>
        <w:t>chromogenic detection with greater operational simplicity, closed-system handling, and direct compatibility with the ISO 9308-2 analytical workflow.</w:t>
      </w:r>
    </w:p>
    <w:p w14:paraId="411A2866" w14:textId="7161755C" w:rsidR="00404944" w:rsidRPr="007E4EDA" w:rsidRDefault="006C35A2" w:rsidP="006C35A2">
      <w:pPr>
        <w:spacing w:after="80" w:line="360" w:lineRule="auto"/>
        <w:rPr>
          <w:sz w:val="24"/>
          <w:szCs w:val="24"/>
          <w:lang w:val="en-GB"/>
        </w:rPr>
      </w:pPr>
      <w:r>
        <w:rPr>
          <w:sz w:val="24"/>
          <w:szCs w:val="24"/>
          <w:lang w:val="en-GB"/>
        </w:rPr>
        <w:t>Another important aspect to consider in procedures based on the Most Probable Number (MPN) approach is the intrinsically statistical nature of the method. Unlike direct counting techniques, the MPN method estimates the concentration of microorganisms in a sample from the distribution of positive and negative growth responses obtained after incubation in multiple analytical compartments (wells) of defined volumes. The final concentration is calculated by comparing the observed pattern of positive wells with standardized probability tables or mathematical algorithms. Consequently, the estimated MPN value is strongly dependent on the nominal volume assigned to each analytical well. Even small differences in well volumes may lead to variations in the calculated MPN, despite identical patterns of positive and negative wells. This effect becomes particularly relevant at high microbial concentrations, where a large proportion of wells are positive and the statistical calculation becomes increasingly sensitive to minor variations in compartment volume. Under these conditions, relatively small differences in the assumed analytical volumes may produce noticeable differences in the estimated MPN values, even when the observed growth distribution remains unchanged</w:t>
      </w:r>
      <w:r w:rsidR="002F41E8">
        <w:rPr>
          <w:sz w:val="24"/>
          <w:szCs w:val="24"/>
          <w:lang w:val="en-GB"/>
        </w:rPr>
        <w:t xml:space="preserve"> </w:t>
      </w:r>
      <w:r w:rsidR="002170CE">
        <w:rPr>
          <w:sz w:val="24"/>
          <w:szCs w:val="24"/>
          <w:lang w:val="en-GB"/>
        </w:rPr>
        <w:fldChar w:fldCharType="begin"/>
      </w:r>
      <w:r w:rsidR="002170CE">
        <w:rPr>
          <w:sz w:val="24"/>
          <w:szCs w:val="24"/>
          <w:lang w:val="en-GB"/>
        </w:rPr>
        <w:instrText xml:space="preserve"> ADDIN ZOTERO_ITEM CSL_CITATION {"citationID":"QQEWa3LU","properties":{"unsorted":false,"formattedCitation":"(McBride, 2003)","plainCitation":"(McBride, 2003)","noteIndex":0},"citationItems":[{"id":29353,"uris":["http://zotero.org/users/19779089/items/33QW3LBW"],"itemData":{"id":29353,"type":"report","citation-key":"mcbride2003","note":"citation-key: mcbride2003","number":"Technical Report 121","page":"62","publisher":"NIWA","title":"Preparing exact Most Probable Number (MPN) tables using occupancy theory, and accompanying measures of uncertainty","author":[{"family":"McBride","given":"G. B."}],"issued":{"date-parts":[["2003"]]}}}],"schema":"https://github.com/citation-style-language/schema/raw/master/csl-citation.json"} </w:instrText>
      </w:r>
      <w:r w:rsidR="002170CE">
        <w:rPr>
          <w:sz w:val="24"/>
          <w:szCs w:val="24"/>
          <w:lang w:val="en-GB"/>
        </w:rPr>
        <w:fldChar w:fldCharType="separate"/>
      </w:r>
      <w:r w:rsidR="002170CE" w:rsidRPr="002170CE">
        <w:rPr>
          <w:sz w:val="24"/>
          <w:lang w:val="en-GB"/>
        </w:rPr>
        <w:t>(McBride, 2003)</w:t>
      </w:r>
      <w:r w:rsidR="002170CE">
        <w:rPr>
          <w:sz w:val="24"/>
          <w:szCs w:val="24"/>
          <w:lang w:val="en-GB"/>
        </w:rPr>
        <w:fldChar w:fldCharType="end"/>
      </w:r>
      <w:r w:rsidR="002170CE">
        <w:rPr>
          <w:sz w:val="24"/>
          <w:szCs w:val="24"/>
          <w:lang w:val="en-GB"/>
        </w:rPr>
        <w:t>.</w:t>
      </w:r>
    </w:p>
    <w:p w14:paraId="5C7CA11C" w14:textId="59297481" w:rsidR="0054380A" w:rsidRPr="007E4EDA" w:rsidRDefault="007D65DA" w:rsidP="00E7232A">
      <w:pPr>
        <w:spacing w:after="80" w:line="360" w:lineRule="auto"/>
        <w:rPr>
          <w:sz w:val="24"/>
          <w:szCs w:val="24"/>
          <w:lang w:val="en-GB"/>
        </w:rPr>
      </w:pPr>
      <w:r>
        <w:rPr>
          <w:sz w:val="24"/>
          <w:szCs w:val="24"/>
          <w:lang w:val="en-GB"/>
        </w:rPr>
        <w:t xml:space="preserve">Building on previous experience in rapid viral indicator detection </w:t>
      </w:r>
      <w:r>
        <w:rPr>
          <w:sz w:val="24"/>
          <w:szCs w:val="24"/>
          <w:lang w:val="en-GB"/>
        </w:rPr>
        <w:fldChar w:fldCharType="begin"/>
      </w:r>
      <w:r>
        <w:rPr>
          <w:sz w:val="24"/>
          <w:szCs w:val="24"/>
          <w:lang w:val="en-GB"/>
        </w:rPr>
        <w:instrText xml:space="preserve"> ADDIN ZOTERO_ITEM CSL_CITATION {"citationID":"AqV2vcwC","properties":{"unsorted":false,"formattedCitation":"(Pascual-Benito et al., 2024)","plainCitation":"(Pascual-Benito et al., 2024)","noteIndex":0},"citationItems":[{"id":29357,"uris":["http://zotero.org/users/19779089/items/JJI46A5Z"],"itemData":{"id":29357,"type":"article-journal","citation-key":"pascualbenito2024","container-title":"Science of the Total Environment","DOI":"10.1016/j.scitotenv.2024.177500","note":"citation-key: pascualbenito2024","page":"177500","title":"Efficient quantification of somatic coliphages in water: Development and validation of the Enumera®Rapid kit","volume":"957","author":[{"family":"Pascual-Benito","given":"M."},{"family":"Méndez","given":"J."},{"family":"Ramos-Barbero","given":"M. D."},{"family":"Jorba-Plassa","given":"A."},{"family":"Martín-Díaz","given":"J."},{"family":"Blanch","given":"A. R."}],"issued":{"date-parts":[["2024"]]}}}],"schema":"https://github.com/citation-style-language/schema/raw/master/csl-citation.json"} </w:instrText>
      </w:r>
      <w:r>
        <w:rPr>
          <w:sz w:val="24"/>
          <w:szCs w:val="24"/>
          <w:lang w:val="en-GB"/>
        </w:rPr>
        <w:fldChar w:fldCharType="separate"/>
      </w:r>
      <w:r>
        <w:rPr>
          <w:sz w:val="24"/>
          <w:szCs w:val="24"/>
          <w:lang w:val="en-GB"/>
        </w:rPr>
        <w:t>(Pascual-Benito et al., 2024)</w:t>
      </w:r>
      <w:r>
        <w:rPr>
          <w:sz w:val="24"/>
          <w:szCs w:val="24"/>
          <w:lang w:val="en-GB"/>
        </w:rPr>
        <w:fldChar w:fldCharType="end"/>
      </w:r>
      <w:r>
        <w:rPr>
          <w:sz w:val="24"/>
          <w:szCs w:val="24"/>
          <w:lang w:val="en-GB"/>
        </w:rPr>
        <w:t xml:space="preserve">, the ENUMERA®-Coli100 method for </w:t>
      </w:r>
      <w:r>
        <w:rPr>
          <w:i/>
          <w:iCs/>
          <w:sz w:val="24"/>
          <w:szCs w:val="24"/>
          <w:lang w:val="en-GB"/>
        </w:rPr>
        <w:t>E. coli</w:t>
      </w:r>
      <w:r>
        <w:rPr>
          <w:sz w:val="24"/>
          <w:szCs w:val="24"/>
          <w:lang w:val="en-GB"/>
        </w:rPr>
        <w:t xml:space="preserve"> and Total Coliforms in 100 mL was developed as a chromogenic liquid MPN method aligned with the workflow described in ISO 9308-2. The method incorporates a novel liquid culture medium (Aquacoli), in which β-galactosidase activity generates a yellow colour indicative of total coliforms, while β-glucuronidase activity produces a visible green colour specific for </w:t>
      </w:r>
      <w:r>
        <w:rPr>
          <w:i/>
          <w:iCs/>
          <w:sz w:val="24"/>
          <w:szCs w:val="24"/>
          <w:lang w:val="en-GB"/>
        </w:rPr>
        <w:t>E. coli</w:t>
      </w:r>
      <w:r>
        <w:rPr>
          <w:sz w:val="24"/>
          <w:szCs w:val="24"/>
          <w:lang w:val="en-GB"/>
        </w:rPr>
        <w:t xml:space="preserve"> under ambient light conditions, thereby eliminating the need for UV-based result interpretation. The system also integrates a closed reagent-in-cap device that enables aseptic resuspension of the dehydrated medium directly inside the sample bottle, simplifying handling procedures and minimizing sample manipulation. Quantification is performed using a proprietary 95-well ENUMERA® tray </w:t>
      </w:r>
      <w:r>
        <w:rPr>
          <w:sz w:val="24"/>
          <w:szCs w:val="24"/>
          <w:lang w:val="en-GB"/>
        </w:rPr>
        <w:fldChar w:fldCharType="begin"/>
      </w:r>
      <w:r>
        <w:rPr>
          <w:sz w:val="24"/>
          <w:szCs w:val="24"/>
          <w:lang w:val="en-GB"/>
        </w:rPr>
        <w:instrText xml:space="preserve"> ADDIN ZOTERO_ITEM CSL_CITATION {"citationID":"TXYUJD7F","properties":{"unsorted":false,"formattedCitation":"(Pascual-Benito et al., 2024)","plainCitation":"(Pascual-Benito et al., 2024)","noteIndex":0},"citationItems":[{"id":29357,"uris":["http://zotero.org/users/19779089/items/JJI46A5Z"],"itemData":{"id":29357,"type":"article-journal","citation-key":"pascualbenito2024","container-title":"Science of the Total Environment","DOI":"10.1016/j.scitotenv.2024.177500","note":"citation-key: pascualbenito2024","page":"177500","title":"Efficient quantification of somatic coliphages in water: Development and validation of the Enumera®Rapid kit","volume":"957","author":[{"family":"Pascual-Benito","given":"M."},{"family":"Méndez","given":"J."},{"family":"Ramos-Barbero","given":"M. D."},{"family":"Jorba-Plassa","given":"A."},{"family":"Martín-Díaz","given":"J."},{"family":"Blanch","given":"A. R."}],"issued":{"date-parts":[["2024"]]}}}],"schema":"https://github.com/citation-style-language/schema/raw/master/csl-citation.json"} </w:instrText>
      </w:r>
      <w:r>
        <w:rPr>
          <w:sz w:val="24"/>
          <w:szCs w:val="24"/>
          <w:lang w:val="en-GB"/>
        </w:rPr>
        <w:fldChar w:fldCharType="separate"/>
      </w:r>
      <w:r>
        <w:rPr>
          <w:sz w:val="24"/>
          <w:szCs w:val="24"/>
          <w:lang w:val="en-GB"/>
        </w:rPr>
        <w:t>(Pascual-Benito et al., 2024)</w:t>
      </w:r>
      <w:r>
        <w:rPr>
          <w:sz w:val="24"/>
          <w:szCs w:val="24"/>
          <w:lang w:val="en-GB"/>
        </w:rPr>
        <w:fldChar w:fldCharType="end"/>
      </w:r>
      <w:r>
        <w:rPr>
          <w:sz w:val="24"/>
          <w:szCs w:val="24"/>
          <w:lang w:val="en-GB"/>
        </w:rPr>
        <w:t xml:space="preserve">, designed to provide a broad analytical working range for 100 mL samples. The tray geometry and corresponding MPN table were specifically designed together to ensure internal consistency between the physical configuration and the statistical estimation model used for enumeration. The aim of the present study was to validate the equivalence of ENUMERA®-Coli100 method as an alternative procedure to the ISO 9308-2 reference method by evaluating its sensitivity, selectivity, specificity, accuracy, </w:t>
      </w:r>
      <w:r>
        <w:rPr>
          <w:sz w:val="24"/>
          <w:szCs w:val="24"/>
          <w:lang w:val="en-GB"/>
        </w:rPr>
        <w:lastRenderedPageBreak/>
        <w:t xml:space="preserve">linearity, and limits of detection and quantification across five ecologically and analytically distinct water matrices. Method performance was assessed in accordance with the principles and requirements established in ISO 16140-2 </w:t>
      </w:r>
      <w:r>
        <w:rPr>
          <w:sz w:val="24"/>
          <w:szCs w:val="24"/>
          <w:lang w:val="en-GB"/>
        </w:rPr>
        <w:fldChar w:fldCharType="begin"/>
      </w:r>
      <w:r>
        <w:rPr>
          <w:sz w:val="24"/>
          <w:szCs w:val="24"/>
          <w:lang w:val="en-GB"/>
        </w:rPr>
        <w:instrText xml:space="preserve"> ADDIN ZOTERO_ITEM CSL_CITATION {"citationID":"GWm1lNzz","properties":{"unsorted":false,"formattedCitation":"(International Organization for Standardization, 2016)","plainCitation":"(International Organization for Standardization, 2016)","noteIndex":0},"citationItems":[{"id":29348,"uris":["http://zotero.org/users/19779089/items/2U4JENBK"],"itemData":{"id":29348,"type":"report","citation-key":"iso16140-2-2016","note":"citation-key: iso16140-2-2016","publisher":"International Organization for Standardization","publisher-place":"Geneva, Switzerland","title":"ISO 16140-2:2016. Microbiology of the food chain — Method validation — Part 2: Protocol for the validation of alternative (proprietary) methods against a reference method","author":[{"literal":"International Organization for Standardization"}],"issued":{"date-parts":[["2016"]]}}}],"schema":"https://github.com/citation-style-language/schema/raw/master/csl-citation.json"} </w:instrText>
      </w:r>
      <w:r>
        <w:rPr>
          <w:sz w:val="24"/>
          <w:szCs w:val="24"/>
          <w:lang w:val="en-GB"/>
        </w:rPr>
        <w:fldChar w:fldCharType="separate"/>
      </w:r>
      <w:r>
        <w:rPr>
          <w:sz w:val="24"/>
          <w:szCs w:val="24"/>
          <w:lang w:val="en-GB"/>
        </w:rPr>
        <w:t>(International Organization for Standardization, 2016)</w:t>
      </w:r>
      <w:r>
        <w:rPr>
          <w:sz w:val="24"/>
          <w:szCs w:val="24"/>
          <w:lang w:val="en-GB"/>
        </w:rPr>
        <w:fldChar w:fldCharType="end"/>
      </w:r>
      <w:r>
        <w:rPr>
          <w:sz w:val="24"/>
          <w:szCs w:val="24"/>
          <w:lang w:val="en-GB"/>
        </w:rPr>
        <w:t xml:space="preserve"> and ISO 13843 </w:t>
      </w:r>
      <w:r>
        <w:rPr>
          <w:sz w:val="24"/>
          <w:szCs w:val="24"/>
          <w:lang w:val="en-GB"/>
        </w:rPr>
        <w:fldChar w:fldCharType="begin"/>
      </w:r>
      <w:r>
        <w:rPr>
          <w:sz w:val="24"/>
          <w:szCs w:val="24"/>
          <w:lang w:val="en-GB"/>
        </w:rPr>
        <w:instrText xml:space="preserve"> ADDIN ZOTERO_ITEM CSL_CITATION {"citationID":"1Ciz3Lwl","properties":{"unsorted":false,"formattedCitation":"(International Organization for Standardization, 2017)","plainCitation":"(International Organization for Standardization, 2017)","noteIndex":0},"citationItems":[{"id":29349,"uris":["http://zotero.org/users/19779089/items/LN5Q7FKZ"],"itemData":{"id":29349,"type":"report","citation-key":"iso13843-2017","note":"citation-key: iso13843-2017","publisher":"International Organization for Standardization","publisher-place":"Geneva, Switzerland","title":"ISO 13843:2017. Water quality — Requirements for establishing performance characteristics of quantitative microbiological methods","author":[{"literal":"International Organization for Standardization"}],"issued":{"date-parts":[["2017"]]}}}],"schema":"https://github.com/citation-style-language/schema/raw/master/csl-citation.json"} </w:instrText>
      </w:r>
      <w:r>
        <w:rPr>
          <w:sz w:val="24"/>
          <w:szCs w:val="24"/>
          <w:lang w:val="en-GB"/>
        </w:rPr>
        <w:fldChar w:fldCharType="separate"/>
      </w:r>
      <w:r>
        <w:rPr>
          <w:sz w:val="24"/>
          <w:szCs w:val="24"/>
          <w:lang w:val="en-GB"/>
        </w:rPr>
        <w:t>(International Organization for Standardization, 2017)</w:t>
      </w:r>
      <w:r>
        <w:rPr>
          <w:sz w:val="24"/>
          <w:szCs w:val="24"/>
          <w:lang w:val="en-GB"/>
        </w:rPr>
        <w:fldChar w:fldCharType="end"/>
      </w:r>
      <w:r>
        <w:rPr>
          <w:sz w:val="24"/>
          <w:szCs w:val="24"/>
          <w:lang w:val="en-GB"/>
        </w:rPr>
        <w:t>.</w:t>
      </w:r>
    </w:p>
    <w:p w14:paraId="014493E6" w14:textId="77777777" w:rsidR="007D65DA" w:rsidRPr="007E4EDA" w:rsidRDefault="007D65DA" w:rsidP="00E7232A">
      <w:pPr>
        <w:spacing w:after="80" w:line="360" w:lineRule="auto"/>
        <w:rPr>
          <w:sz w:val="24"/>
          <w:szCs w:val="24"/>
          <w:lang w:val="en-GB"/>
        </w:rPr>
      </w:pPr>
    </w:p>
    <w:p w14:paraId="3CF83B9D" w14:textId="77777777" w:rsidR="007630FE" w:rsidRPr="007E4EDA" w:rsidRDefault="00C57A2D" w:rsidP="00E7232A">
      <w:pPr>
        <w:pStyle w:val="Ttol1"/>
        <w:spacing w:before="240" w:after="120" w:line="360" w:lineRule="auto"/>
        <w:rPr>
          <w:lang w:val="en-GB"/>
        </w:rPr>
      </w:pPr>
      <w:r>
        <w:rPr>
          <w:lang w:val="en-GB"/>
        </w:rPr>
        <w:t>2. Materials and Methods</w:t>
      </w:r>
    </w:p>
    <w:p w14:paraId="1A13B979" w14:textId="77777777" w:rsidR="007630FE" w:rsidRPr="007E4EDA" w:rsidRDefault="00C57A2D" w:rsidP="00E7232A">
      <w:pPr>
        <w:pStyle w:val="Ttol2"/>
        <w:spacing w:line="360" w:lineRule="auto"/>
        <w:rPr>
          <w:sz w:val="24"/>
          <w:szCs w:val="24"/>
          <w:lang w:val="en-GB"/>
        </w:rPr>
      </w:pPr>
      <w:r>
        <w:rPr>
          <w:sz w:val="24"/>
          <w:szCs w:val="24"/>
          <w:lang w:val="en-GB"/>
        </w:rPr>
        <w:t>2.1. Water matrices and sample preparation</w:t>
      </w:r>
    </w:p>
    <w:p w14:paraId="5FA16591" w14:textId="68BAFCB9" w:rsidR="00670DAA" w:rsidRPr="007E4EDA" w:rsidRDefault="00670DAA" w:rsidP="00670DAA">
      <w:pPr>
        <w:spacing w:after="80" w:line="360" w:lineRule="auto"/>
        <w:rPr>
          <w:sz w:val="24"/>
          <w:szCs w:val="24"/>
          <w:lang w:val="en-GB"/>
        </w:rPr>
      </w:pPr>
      <w:r>
        <w:rPr>
          <w:sz w:val="24"/>
          <w:szCs w:val="24"/>
          <w:lang w:val="en-GB"/>
        </w:rPr>
        <w:t>Five water matrices were included in the study: drinking water, surface water, reclaimed water, wastewater, and seawater. Drinking water consisted of bottled mineral water purchased from a local retailer to avoid interference from residual chlorine. Surface water was collected from the lower course of the Llobregat River (Catalonia, Spain). Reclaimed water and wastewater were collected after tertiary and secondary treatment, respectively, from a municipal wastewater treatment plant serving approximately two million inhabitant-equivalents in the Barcelona Metropolitan Area. Seawater was collected from two beaches located in the same metropolitan area. River water, reclaimed water, and wastewater samples were collected in sterile 1 L polyethylene containers, transported under refrigeration, and analysed within 24 h of collection.</w:t>
      </w:r>
    </w:p>
    <w:p w14:paraId="4FD8F2AC" w14:textId="64977E66" w:rsidR="00670DAA" w:rsidRPr="007E4EDA" w:rsidRDefault="00670DAA" w:rsidP="00E7232A">
      <w:pPr>
        <w:spacing w:after="80" w:line="360" w:lineRule="auto"/>
        <w:rPr>
          <w:sz w:val="24"/>
          <w:szCs w:val="24"/>
          <w:lang w:val="en-GB"/>
        </w:rPr>
      </w:pPr>
      <w:r>
        <w:rPr>
          <w:sz w:val="24"/>
          <w:szCs w:val="24"/>
          <w:lang w:val="en-GB"/>
        </w:rPr>
        <w:t>A total of 120 water samples were analysed, corresponding to 24 samples for each water matrix. Matrices with naturally occurring coliform bacteria were diluted with sterile water from the same source, whereas matrices without detectable coliforms were spiked with secondary-treated wastewater. For each experimental unit, 500 mL of sample were prepared, homogenised by magnetic stirring for 10 min, and divided into four 100 mL aliquots. Two aliquots were analysed using the reference method (ISO 9308-2), and the remaining two were analysed using the ENUMERA®-Coli100 kit. Seawater samples were diluted 1:10 in sterile distilled water prior to analysis, in accordance with ISO 9308-2, to minimise the inhibitory effect of salinity on bacterial growth.</w:t>
      </w:r>
    </w:p>
    <w:p w14:paraId="2C9E3AA7" w14:textId="77777777" w:rsidR="007630FE" w:rsidRPr="007E4EDA" w:rsidRDefault="00C57A2D" w:rsidP="00E7232A">
      <w:pPr>
        <w:pStyle w:val="Ttol2"/>
        <w:spacing w:line="360" w:lineRule="auto"/>
        <w:rPr>
          <w:sz w:val="24"/>
          <w:szCs w:val="24"/>
          <w:lang w:val="en-GB"/>
        </w:rPr>
      </w:pPr>
      <w:r>
        <w:rPr>
          <w:sz w:val="24"/>
          <w:szCs w:val="24"/>
          <w:lang w:val="en-GB"/>
        </w:rPr>
        <w:t>2.2. Reference method: ISO 9308-2</w:t>
      </w:r>
    </w:p>
    <w:p w14:paraId="33EB9106" w14:textId="50645206" w:rsidR="007630FE" w:rsidRPr="007E4EDA" w:rsidRDefault="00B80DF6" w:rsidP="00B01E19">
      <w:pPr>
        <w:spacing w:after="120" w:line="360" w:lineRule="auto"/>
        <w:jc w:val="both"/>
        <w:rPr>
          <w:sz w:val="24"/>
          <w:szCs w:val="24"/>
          <w:lang w:val="en-GB"/>
        </w:rPr>
      </w:pPr>
      <w:r>
        <w:rPr>
          <w:i/>
          <w:iCs/>
          <w:sz w:val="24"/>
          <w:szCs w:val="24"/>
          <w:lang w:val="en-GB"/>
        </w:rPr>
        <w:t>Escherichia coli</w:t>
      </w:r>
      <w:r>
        <w:rPr>
          <w:sz w:val="24"/>
          <w:szCs w:val="24"/>
          <w:lang w:val="en-GB"/>
        </w:rPr>
        <w:t xml:space="preserve"> and coliform bacteria were enumerated using the Colilert-18/Quanti-Tray system (IDEXX Laboratories, Westbrook, ME, USA), following the most probable number (MPN) procedure described in ISO 9308-2:2012. The assay is based on the presence of o-nitrophenyl-β-D-galactopyranoside (ONPG), used to detect coliform bacteria, and 4-</w:t>
      </w:r>
      <w:r>
        <w:rPr>
          <w:sz w:val="24"/>
          <w:szCs w:val="24"/>
          <w:lang w:val="en-GB"/>
        </w:rPr>
        <w:lastRenderedPageBreak/>
        <w:t xml:space="preserve">methylumbelliferyl-β-D-glucuronide (MUG), used to detect </w:t>
      </w:r>
      <w:r>
        <w:rPr>
          <w:i/>
          <w:iCs/>
          <w:sz w:val="24"/>
          <w:szCs w:val="24"/>
          <w:lang w:val="en-GB"/>
        </w:rPr>
        <w:t>E. coli</w:t>
      </w:r>
      <w:r>
        <w:rPr>
          <w:sz w:val="24"/>
          <w:szCs w:val="24"/>
          <w:lang w:val="en-GB"/>
        </w:rPr>
        <w:t xml:space="preserve">. Briefly, 100 mL of sample were mixed with the reconstituted medium and distributed into a 97-well Quanti-Tray consisting of one overflow well, 48 large wells, and 48 small wells, comprising one overflow well with a maximum volume of 2.08 mL, 48 large wells with a maximum volume of 1.88 mL, and 48 small wells with a maximum volume of 0.160 mL (McBride, 2003). Following incubation at 36 ± 2 °C for 18 ± 2 h, yellow wells were scored as positive for coliform bacteria, and wells exhibiting fluorescence under UV light (365 nm) were scored as positive for </w:t>
      </w:r>
      <w:r>
        <w:rPr>
          <w:i/>
          <w:iCs/>
          <w:sz w:val="24"/>
          <w:szCs w:val="24"/>
          <w:lang w:val="en-GB"/>
        </w:rPr>
        <w:t>E. coli</w:t>
      </w:r>
      <w:r>
        <w:rPr>
          <w:sz w:val="24"/>
          <w:szCs w:val="24"/>
          <w:lang w:val="en-GB"/>
        </w:rPr>
        <w:t>. Final results were expressed as MPN values according to the standard interpretation table provided by the manufacturer.</w:t>
      </w:r>
    </w:p>
    <w:p w14:paraId="6F276107" w14:textId="575F4C45" w:rsidR="007630FE" w:rsidRPr="007E4EDA" w:rsidRDefault="00C57A2D" w:rsidP="00E7232A">
      <w:pPr>
        <w:pStyle w:val="Ttol2"/>
        <w:spacing w:line="360" w:lineRule="auto"/>
        <w:rPr>
          <w:sz w:val="24"/>
          <w:szCs w:val="24"/>
          <w:lang w:val="en-GB"/>
        </w:rPr>
      </w:pPr>
      <w:r>
        <w:rPr>
          <w:sz w:val="24"/>
          <w:szCs w:val="24"/>
          <w:lang w:val="en-GB"/>
        </w:rPr>
        <w:t>2.3. Alternative method: ENUMERA®-Coli100 method</w:t>
      </w:r>
    </w:p>
    <w:p w14:paraId="2499B9FE" w14:textId="6F6194DC" w:rsidR="00A7047A" w:rsidRPr="007E4EDA" w:rsidRDefault="00A7047A" w:rsidP="00A7047A">
      <w:pPr>
        <w:spacing w:after="120" w:line="360" w:lineRule="auto"/>
        <w:jc w:val="both"/>
        <w:rPr>
          <w:sz w:val="24"/>
          <w:szCs w:val="24"/>
          <w:lang w:val="en-GB"/>
        </w:rPr>
      </w:pPr>
      <w:r>
        <w:rPr>
          <w:sz w:val="24"/>
          <w:szCs w:val="24"/>
          <w:lang w:val="en-GB"/>
        </w:rPr>
        <w:t xml:space="preserve">The ENUMERA®-Coli100 method, designed for the enumeration of </w:t>
      </w:r>
      <w:r>
        <w:rPr>
          <w:i/>
          <w:iCs/>
          <w:sz w:val="24"/>
          <w:szCs w:val="24"/>
          <w:lang w:val="en-GB"/>
        </w:rPr>
        <w:t>E. coli</w:t>
      </w:r>
      <w:r>
        <w:rPr>
          <w:sz w:val="24"/>
          <w:szCs w:val="24"/>
          <w:lang w:val="en-GB"/>
        </w:rPr>
        <w:t xml:space="preserve"> and total coliforms in 100 mL water samples, consists of two components: (i) a 125 mL testing bottle fitted with a proprietary integrated cap (“reagent-in-cap”) containing the dehydrated chromogenic medium Aquacoli sealed in a blister within the cap threads; (ii) a 95-well ENUMERA® tray </w:t>
      </w:r>
      <w:r>
        <w:rPr>
          <w:sz w:val="24"/>
          <w:szCs w:val="24"/>
          <w:lang w:val="en-GB"/>
        </w:rPr>
        <w:fldChar w:fldCharType="begin"/>
      </w:r>
      <w:r>
        <w:rPr>
          <w:sz w:val="24"/>
          <w:szCs w:val="24"/>
          <w:lang w:val="en-GB"/>
        </w:rPr>
        <w:instrText xml:space="preserve"> ADDIN ZOTERO_ITEM CSL_CITATION {"citationID":"1G0rowgn","properties":{"unsorted":false,"formattedCitation":"(Pascual-Benito et al., 2024)","plainCitation":"(Pascual-Benito et al., 2024)","noteIndex":0},"citationItems":[{"id":29357,"uris":["http://zotero.org/users/19779089/items/JJI46A5Z"],"itemData":{"id":29357,"type":"article-journal","citation-key":"pascualbenito2024","container-title":"Science of the Total Environment","DOI":"10.1016/j.scitotenv.2024.177500","note":"citation-key: pascualbenito2024","page":"177500","title":"Efficient quantification of somatic coliphages in water: Development and validation of the Enumera®Rapid kit","volume":"957","author":[{"family":"Pascual-Benito","given":"M."},{"family":"Méndez","given":"J."},{"family":"Ramos-Barbero","given":"M. D."},{"family":"Jorba-Plassa","given":"A."},{"family":"Martín-Díaz","given":"J."},{"family":"Blanch","given":"A. R."}],"issued":{"date-parts":[["2024"]]}}}],"schema":"https://github.com/citation-style-language/schema/raw/master/csl-citation.json"} </w:instrText>
      </w:r>
      <w:r>
        <w:rPr>
          <w:sz w:val="24"/>
          <w:szCs w:val="24"/>
          <w:lang w:val="en-GB"/>
        </w:rPr>
        <w:fldChar w:fldCharType="separate"/>
      </w:r>
      <w:r>
        <w:rPr>
          <w:sz w:val="24"/>
          <w:szCs w:val="24"/>
          <w:lang w:val="en-GB"/>
        </w:rPr>
        <w:t>(Pascual-Benito et al., 2024)</w:t>
      </w:r>
      <w:r>
        <w:rPr>
          <w:sz w:val="24"/>
          <w:szCs w:val="24"/>
          <w:lang w:val="en-GB"/>
        </w:rPr>
        <w:fldChar w:fldCharType="end"/>
      </w:r>
      <w:r>
        <w:rPr>
          <w:sz w:val="24"/>
          <w:szCs w:val="24"/>
          <w:lang w:val="en-GB"/>
        </w:rPr>
        <w:t xml:space="preserve"> composed of one overflow well, 46 large wells, and 48 small wells. The chromogenic medium is based on the components described in the ISO 9308-2 and contains ONPG for the detection of β-galactosidase activity, used to indicate total coliforms by a yellow colour change, and a chromogenic glucuronic acid derivative (indoxyl-β-D-glucuronide family substrate) for the detection of β-glucuronidase activity, used to indicate </w:t>
      </w:r>
      <w:r>
        <w:rPr>
          <w:i/>
          <w:iCs/>
          <w:sz w:val="24"/>
          <w:szCs w:val="24"/>
          <w:lang w:val="en-GB"/>
        </w:rPr>
        <w:t>E. coli</w:t>
      </w:r>
      <w:r>
        <w:rPr>
          <w:sz w:val="24"/>
          <w:szCs w:val="24"/>
          <w:lang w:val="en-GB"/>
        </w:rPr>
        <w:t xml:space="preserve"> by a green colour change.</w:t>
      </w:r>
    </w:p>
    <w:p w14:paraId="71720F88" w14:textId="70B6E76C" w:rsidR="007630FE" w:rsidRPr="007E4EDA" w:rsidRDefault="00A7047A" w:rsidP="24A6ABCE">
      <w:pPr>
        <w:spacing w:after="120" w:line="360" w:lineRule="auto"/>
        <w:jc w:val="both"/>
        <w:rPr>
          <w:sz w:val="24"/>
          <w:szCs w:val="24"/>
          <w:lang w:val="en-GB"/>
        </w:rPr>
      </w:pPr>
      <w:r>
        <w:rPr>
          <w:sz w:val="24"/>
          <w:szCs w:val="24"/>
          <w:lang w:val="en-GB"/>
        </w:rPr>
        <w:t xml:space="preserve">Briefly, the water sample was transferred into the testing bottle, and the cap was twisted to release the dehydrated medium directly into the sample without opening the bottle. After gentle mixing for 1 min, the reaction mixture was dispensed into the ENUMERA® tray, thermosealed, and incubated at 36 ± 2 °C for 18 ± 2 h. Results were read under ambient white light. Wells exhibiting a yellow or green colour reaction were recorded as positive for total coliforms, whereas wells exhibiting a green colour reaction were additionally recorded as positive for </w:t>
      </w:r>
      <w:r>
        <w:rPr>
          <w:i/>
          <w:iCs/>
          <w:sz w:val="24"/>
          <w:szCs w:val="24"/>
          <w:lang w:val="en-GB"/>
        </w:rPr>
        <w:t>E. coli</w:t>
      </w:r>
      <w:r>
        <w:rPr>
          <w:sz w:val="24"/>
          <w:szCs w:val="24"/>
          <w:lang w:val="en-GB"/>
        </w:rPr>
        <w:t>.</w:t>
      </w:r>
    </w:p>
    <w:p w14:paraId="0F878B86" w14:textId="10AA9EFE" w:rsidR="007630FE" w:rsidRPr="007E4EDA" w:rsidRDefault="00A7047A" w:rsidP="24A6ABCE">
      <w:pPr>
        <w:spacing w:after="120" w:line="360" w:lineRule="auto"/>
        <w:jc w:val="both"/>
        <w:rPr>
          <w:sz w:val="24"/>
          <w:szCs w:val="24"/>
          <w:lang w:val="en-GB"/>
        </w:rPr>
      </w:pPr>
      <w:r>
        <w:rPr>
          <w:sz w:val="24"/>
          <w:szCs w:val="24"/>
          <w:lang w:val="en-GB"/>
        </w:rPr>
        <w:t xml:space="preserve">In tray-based MPN systems, the estimated concentration is derived from the observed combination of positive and negative wells across defined inoculated volumes; therefore, the physical geometry of the tray is directly embedded in the statistical model used for enumeration. In the development of the ENUMERA® tray, particular attention was therefore paid to ensuring traceability between tray design and MPN estimation. The tray comprises one </w:t>
      </w:r>
      <w:r>
        <w:rPr>
          <w:sz w:val="24"/>
          <w:szCs w:val="24"/>
          <w:lang w:val="en-GB"/>
        </w:rPr>
        <w:lastRenderedPageBreak/>
        <w:t xml:space="preserve">overflow well collecting 5.51 mL, 46 large wells of 1.86 mL each, and 48 small wells of 0.186 mL each, providing a total nominal sample volume of 100 mL. The corresponding MPN table was specifically derived for this configuration using the methodology previously described </w:t>
      </w:r>
      <w:r>
        <w:rPr>
          <w:sz w:val="24"/>
          <w:szCs w:val="24"/>
          <w:lang w:val="en-GB"/>
        </w:rPr>
        <w:fldChar w:fldCharType="begin"/>
      </w:r>
      <w:r>
        <w:rPr>
          <w:sz w:val="24"/>
          <w:szCs w:val="24"/>
          <w:lang w:val="en-GB"/>
        </w:rPr>
        <w:instrText xml:space="preserve"> ADDIN ZOTERO_ITEM CSL_CITATION {"citationID":"vGkpwL5t","properties":{"unsorted":false,"formattedCitation":"(Hurley and Roscoe, 1983)","plainCitation":"(Hurley and Roscoe, 1983)","noteIndex":0},"citationItems":[{"id":29342,"uris":["http://zotero.org/users/19779089/items/J8VX36PU"],"itemData":{"id":29342,"type":"article-journal","citation-key":"hurley1983","container-title":"Journal of Applied Bacteriology","note":"citation-key: hurley1983","page":"159–164","title":"Automated statistical analysis of microbial enumeration by dilution series","volume":"55","author":[{"family":"Hurley","given":"M. A."},{"family":"Roscoe","given":"M. E."}],"issued":{"date-parts":[["1983"]]}}}],"schema":"https://github.com/citation-style-language/schema/raw/master/csl-citation.json"} </w:instrText>
      </w:r>
      <w:r>
        <w:rPr>
          <w:sz w:val="24"/>
          <w:szCs w:val="24"/>
          <w:lang w:val="en-GB"/>
        </w:rPr>
        <w:fldChar w:fldCharType="separate"/>
      </w:r>
      <w:r>
        <w:rPr>
          <w:sz w:val="24"/>
          <w:szCs w:val="24"/>
          <w:lang w:val="en-GB"/>
        </w:rPr>
        <w:t>(Hurley and Roscoe, 1983)</w:t>
      </w:r>
      <w:r>
        <w:rPr>
          <w:sz w:val="24"/>
          <w:szCs w:val="24"/>
          <w:lang w:val="en-GB"/>
        </w:rPr>
        <w:fldChar w:fldCharType="end"/>
      </w:r>
      <w:r>
        <w:rPr>
          <w:sz w:val="24"/>
          <w:szCs w:val="24"/>
          <w:lang w:val="en-GB"/>
        </w:rPr>
        <w:t>, following the principles of ISO 9308-2 and incorporating the nominal well volumes defined for this tray geometry. This approach provides a transparent and reproducible basis for interpreting enumeration results and ensures consistency between the physical tray configuration and the statistical framework applied (see Supplementary Material for the complete MPN table).</w:t>
      </w:r>
    </w:p>
    <w:p w14:paraId="2144351D" w14:textId="77777777" w:rsidR="00875BA0" w:rsidRPr="007E4EDA" w:rsidRDefault="00875BA0" w:rsidP="00B01E19">
      <w:pPr>
        <w:spacing w:after="120" w:line="360" w:lineRule="auto"/>
        <w:jc w:val="both"/>
        <w:rPr>
          <w:sz w:val="24"/>
          <w:szCs w:val="24"/>
          <w:lang w:val="en-GB"/>
        </w:rPr>
      </w:pPr>
    </w:p>
    <w:p w14:paraId="05D158B8" w14:textId="156BF388" w:rsidR="00875BA0" w:rsidRPr="007E4EDA" w:rsidRDefault="00875BA0" w:rsidP="00875BA0">
      <w:pPr>
        <w:pStyle w:val="Ttol2"/>
        <w:spacing w:line="360" w:lineRule="auto"/>
        <w:rPr>
          <w:sz w:val="24"/>
          <w:szCs w:val="24"/>
          <w:lang w:val="en-GB"/>
        </w:rPr>
      </w:pPr>
      <w:r>
        <w:rPr>
          <w:sz w:val="24"/>
          <w:szCs w:val="24"/>
          <w:lang w:val="en-GB"/>
        </w:rPr>
        <w:t>2.4. Comparison of the main components of both MPN methods</w:t>
      </w:r>
    </w:p>
    <w:p w14:paraId="7AC1D7D6" w14:textId="77777777" w:rsidR="000A028A" w:rsidRPr="007E4EDA" w:rsidRDefault="000A028A" w:rsidP="000A028A">
      <w:pPr>
        <w:spacing w:after="80" w:line="360" w:lineRule="auto"/>
        <w:rPr>
          <w:sz w:val="24"/>
          <w:szCs w:val="24"/>
          <w:lang w:val="en-GB"/>
        </w:rPr>
      </w:pPr>
      <w:r>
        <w:rPr>
          <w:sz w:val="24"/>
          <w:szCs w:val="24"/>
          <w:lang w:val="en-GB"/>
        </w:rPr>
        <w:t>The two MPN methods mainly differ in the composition of the chromogenic or fluorogenic culture media and in the characteristics of the MPN trays, including well number, well volume, tray geometry, and sealing membrane materials. To comparatively evaluate the influence of these components on analytical performance, a cross-assessment of the media and tray formats was performed.</w:t>
      </w:r>
    </w:p>
    <w:p w14:paraId="4911A8BD" w14:textId="4905717B" w:rsidR="00875BA0" w:rsidRPr="007E4EDA" w:rsidRDefault="00BA5A90" w:rsidP="00B01E19">
      <w:pPr>
        <w:spacing w:after="120" w:line="360" w:lineRule="auto"/>
        <w:jc w:val="both"/>
        <w:rPr>
          <w:sz w:val="24"/>
          <w:szCs w:val="24"/>
          <w:lang w:val="en-GB"/>
        </w:rPr>
      </w:pPr>
      <w:r>
        <w:rPr>
          <w:sz w:val="24"/>
          <w:szCs w:val="24"/>
          <w:lang w:val="en-GB"/>
        </w:rPr>
        <w:t>Ten surface water samples were analysed using different combinations of media and tray systems. The Aquacoli chromogenic medium from the ENUMERA®-Coli100 method was applied both in the proprietary ENUMERA® tray and in the Quanti-Tray® system, while the Colilert-18 fluorogenic medium was similarly evaluated in both tray formats. The obtained enumeration results were compared with those generated using the original configurations of each commercial kit.</w:t>
      </w:r>
    </w:p>
    <w:p w14:paraId="5E005E02" w14:textId="0CEF1AD4" w:rsidR="007630FE" w:rsidRPr="007E4EDA" w:rsidRDefault="00C57A2D" w:rsidP="00E7232A">
      <w:pPr>
        <w:pStyle w:val="Ttol2"/>
        <w:spacing w:line="360" w:lineRule="auto"/>
        <w:rPr>
          <w:sz w:val="24"/>
          <w:szCs w:val="24"/>
          <w:lang w:val="en-GB"/>
        </w:rPr>
      </w:pPr>
      <w:r>
        <w:rPr>
          <w:sz w:val="24"/>
          <w:szCs w:val="24"/>
          <w:lang w:val="en-GB"/>
        </w:rPr>
        <w:t>2.5. Selectivity and specificity testing</w:t>
      </w:r>
    </w:p>
    <w:p w14:paraId="7309A601" w14:textId="7288CAD3" w:rsidR="00121B6E" w:rsidRPr="007E4EDA" w:rsidRDefault="00121B6E" w:rsidP="00E7232A">
      <w:pPr>
        <w:spacing w:after="80" w:line="360" w:lineRule="auto"/>
        <w:rPr>
          <w:sz w:val="24"/>
          <w:szCs w:val="24"/>
          <w:lang w:val="en-GB"/>
        </w:rPr>
      </w:pPr>
      <w:r>
        <w:rPr>
          <w:sz w:val="24"/>
          <w:szCs w:val="24"/>
          <w:lang w:val="en-GB"/>
        </w:rPr>
        <w:t xml:space="preserve">Selectivity (inclusivity) was evaluated using 20 coliform and </w:t>
      </w:r>
      <w:r>
        <w:rPr>
          <w:i/>
          <w:iCs/>
          <w:sz w:val="24"/>
          <w:szCs w:val="24"/>
          <w:lang w:val="en-GB"/>
        </w:rPr>
        <w:t>E. coli</w:t>
      </w:r>
      <w:r>
        <w:rPr>
          <w:sz w:val="24"/>
          <w:szCs w:val="24"/>
          <w:lang w:val="en-GB"/>
        </w:rPr>
        <w:t xml:space="preserve"> strains (Table 1), whereas specificity (exclusivity) was assessed using 10 non-coliform strains (Table 2). Pure cultures were grown overnight in Tryptic Soy Broth (TSB, Condalab, Spain) and tested with both the ENUMERA®-Coli100 method and the Colilert-18/Quanti-Tray system (ISO 9308-2) under the same conditions described above. Results were recorded as positive (+) or negative (−) for total coliform and </w:t>
      </w:r>
      <w:r>
        <w:rPr>
          <w:i/>
          <w:iCs/>
          <w:sz w:val="24"/>
          <w:szCs w:val="24"/>
          <w:lang w:val="en-GB"/>
        </w:rPr>
        <w:t>E. coli</w:t>
      </w:r>
      <w:r>
        <w:rPr>
          <w:sz w:val="24"/>
          <w:szCs w:val="24"/>
          <w:lang w:val="en-GB"/>
        </w:rPr>
        <w:t xml:space="preserve"> detection.</w:t>
      </w:r>
    </w:p>
    <w:p w14:paraId="57A96D39" w14:textId="728BB401" w:rsidR="007630FE" w:rsidRPr="007E4EDA" w:rsidRDefault="00C57A2D" w:rsidP="00E7232A">
      <w:pPr>
        <w:pStyle w:val="Ttol2"/>
        <w:spacing w:line="360" w:lineRule="auto"/>
        <w:rPr>
          <w:sz w:val="24"/>
          <w:szCs w:val="24"/>
          <w:lang w:val="en-GB"/>
        </w:rPr>
      </w:pPr>
      <w:r>
        <w:rPr>
          <w:sz w:val="24"/>
          <w:szCs w:val="24"/>
          <w:lang w:val="en-GB"/>
        </w:rPr>
        <w:t>2.6. Statistical analysis</w:t>
      </w:r>
    </w:p>
    <w:p w14:paraId="18F70195" w14:textId="395BE2E4" w:rsidR="00783E20" w:rsidRPr="007E4EDA" w:rsidRDefault="00783E20" w:rsidP="00783E20">
      <w:pPr>
        <w:pStyle w:val="Ttol2"/>
        <w:spacing w:line="360" w:lineRule="auto"/>
        <w:rPr>
          <w:b w:val="0"/>
          <w:bCs w:val="0"/>
          <w:sz w:val="24"/>
          <w:szCs w:val="24"/>
          <w:lang w:val="en-GB"/>
        </w:rPr>
      </w:pPr>
      <w:r>
        <w:rPr>
          <w:b w:val="0"/>
          <w:bCs w:val="0"/>
          <w:sz w:val="24"/>
          <w:szCs w:val="24"/>
          <w:lang w:val="en-GB"/>
        </w:rPr>
        <w:lastRenderedPageBreak/>
        <w:t>Method validation was undertaken within the general framework of ISO 16140-2 for the evaluation of alternative microbiological methods against a reference method. For quantitative methods, this framework emphasises the assessment of relative trueness, bias, and agreement between the alternative and reference procedures. Relative trueness was therefore evaluated using the Bland-Altman approach described in ISO 16140-2, while additional regression-based analyses were used as complementary tools for method comparison.</w:t>
      </w:r>
    </w:p>
    <w:p w14:paraId="57045FF5" w14:textId="681357EC" w:rsidR="00783E20" w:rsidRPr="007E4EDA" w:rsidRDefault="00783E20" w:rsidP="00783E20">
      <w:pPr>
        <w:pStyle w:val="Ttol2"/>
        <w:spacing w:line="360" w:lineRule="auto"/>
        <w:rPr>
          <w:b w:val="0"/>
          <w:bCs w:val="0"/>
          <w:sz w:val="24"/>
          <w:szCs w:val="24"/>
          <w:lang w:val="en-GB"/>
        </w:rPr>
      </w:pPr>
      <w:r>
        <w:rPr>
          <w:b w:val="0"/>
          <w:bCs w:val="0"/>
          <w:sz w:val="24"/>
          <w:szCs w:val="24"/>
          <w:lang w:val="en-GB"/>
        </w:rPr>
        <w:t xml:space="preserve">Statistical analyses were performed using R (version 4.5.3). All titres were calculated using the MPN package (version 0.4.0; Ferguson &amp; Ihrie, 2024), with a 95% confidence level and the Jarvis confidence interval method </w:t>
      </w:r>
      <w:r>
        <w:rPr>
          <w:b w:val="0"/>
          <w:bCs w:val="0"/>
          <w:sz w:val="24"/>
          <w:szCs w:val="24"/>
          <w:lang w:val="en-GB"/>
        </w:rPr>
        <w:fldChar w:fldCharType="begin"/>
      </w:r>
      <w:r>
        <w:rPr>
          <w:b w:val="0"/>
          <w:bCs w:val="0"/>
          <w:sz w:val="24"/>
          <w:szCs w:val="24"/>
          <w:lang w:val="en-GB"/>
        </w:rPr>
        <w:instrText xml:space="preserve"> ADDIN ZOTERO_ITEM CSL_CITATION {"citationID":"wjvXxgGW","properties":{"unsorted":false,"formattedCitation":"(Jarvis et al., 2010)","plainCitation":"(Jarvis et al., 2010)","noteIndex":0},"citationItems":[{"id":7260,"uris":["http://zotero.org/users/19779089/items/6YW2K8XY"],"itemData":{"id":7260,"type":"article-journal","abstract":"Aims: The purpose of this work was to derive a simple Excel spreadsheet and a set of standard tables of most probable number (MPN) values that can be applied by users of International Standard Methods to obtain the same output values for MPN, SD of the MPN, 95% confidence limits and test validity. With respect to the latter, it is considered that the Blodgett concept of 'rarity' is more valuable than the frequently used approach of improbability (vide de Man).Methods and Results: The paper describes the statistical procedures used in the work and the reasons for introducing a new set of conceptual and practical approaches to the determination of MPNs and their parameters. Examples of MPNs derived using these procedures are provided. The Excel spreadsheet can be downloaded from .Conclusions: The application of the revised approach to the determination of MPN parameters permits those who wish to use tabulated values, and those who require access to a simple spreadsheet to determine values for nonstandard test protocols, to obtain the same output values for any specific set of multiple test results. The concept of 'rarity' is a more easily understood parameter to describe test result combinations that are not statistically valid. Provision of the SD of the log MPN value permits derivation of uncertainty parameters that have not previously been possible.Significance and Impact of the Study: A consistent approach for the derivation of MPNs and their parameters is essential for coherence between International Standard Methods. It is intended that future microbiology standard methods will be based on the procedures described in this paper. © 2010 The Authors. Journal of Applied Microbiology © 2010 The Society for Applied Microbiology.","citation-key":"jarvisReconsiderationDerivationMost2010","container-title":"Journal of Applied Microbiology","DOI":"10.1111/j.1365-2672.2010.04792.x","ISSN":"13645072","issue":"5","note":"citation-key: jarvisReconsiderationDerivationMost2010","page":"1660-1667","PMID":"20602657","title":"Reconsideration of the derivation of Most Probable Numbers, their standard deviations, confidence bounds and rarity values","volume":"109","author":[{"family":"Jarvis","given":"B."},{"family":"Wilrich","given":"C."},{"family":"Wilrich","given":"P. T."}],"issued":{"date-parts":[["2010"]]}}}],"schema":"https://github.com/citation-style-language/schema/raw/master/csl-citation.json"} </w:instrText>
      </w:r>
      <w:r>
        <w:rPr>
          <w:b w:val="0"/>
          <w:bCs w:val="0"/>
          <w:sz w:val="24"/>
          <w:szCs w:val="24"/>
          <w:lang w:val="en-GB"/>
        </w:rPr>
        <w:fldChar w:fldCharType="separate"/>
      </w:r>
      <w:r>
        <w:rPr>
          <w:b w:val="0"/>
          <w:bCs w:val="0"/>
          <w:sz w:val="24"/>
          <w:szCs w:val="24"/>
          <w:lang w:val="en-GB"/>
        </w:rPr>
        <w:t>(Jarvis et al., 2010)</w:t>
      </w:r>
      <w:r>
        <w:rPr>
          <w:b w:val="0"/>
          <w:bCs w:val="0"/>
          <w:sz w:val="24"/>
          <w:szCs w:val="24"/>
          <w:lang w:val="en-GB"/>
        </w:rPr>
        <w:fldChar w:fldCharType="end"/>
      </w:r>
      <w:r>
        <w:rPr>
          <w:b w:val="0"/>
          <w:bCs w:val="0"/>
          <w:sz w:val="24"/>
          <w:szCs w:val="24"/>
          <w:lang w:val="en-GB"/>
        </w:rPr>
        <w:t xml:space="preserve">. Relative trueness (bias) between methods was evaluated using the valytics package (version 0.4.1) </w:t>
      </w:r>
      <w:r>
        <w:rPr>
          <w:b w:val="0"/>
          <w:bCs w:val="0"/>
          <w:sz w:val="24"/>
          <w:szCs w:val="24"/>
          <w:lang w:val="en-GB"/>
        </w:rPr>
        <w:fldChar w:fldCharType="begin"/>
      </w:r>
      <w:r>
        <w:rPr>
          <w:b w:val="0"/>
          <w:bCs w:val="0"/>
          <w:sz w:val="24"/>
          <w:szCs w:val="24"/>
          <w:lang w:val="en-GB"/>
        </w:rPr>
        <w:instrText xml:space="preserve"> ADDIN ZOTERO_ITEM CSL_CITATION {"citationID":"g4M7BeHB","properties":{"unsorted":false,"formattedCitation":"(Grassi, 2026)","plainCitation":"(Grassi, 2026)","noteIndex":0},"citationItems":[{"id":29340,"uris":["http://zotero.org/users/19779089/items/AL3QCZE8"],"itemData":{"id":29340,"type":"report","citation-key":"grassi2026","DOI":"10.32614/CRAN.package.valytics","genre":"manual","note":"citation-key: grassi2026","title":"&lt;span class=\"nocase\"&gt;valytics&lt;/span&gt;: Statistical methods for analytical method comparison and validation","URL":"https://CRAN.R-project.org/package=valytics","author":[{"family":"Grassi","given":"M."}],"issued":{"date-parts":[["2026"]]}}}],"schema":"https://github.com/citation-style-language/schema/raw/master/csl-citation.json"} </w:instrText>
      </w:r>
      <w:r>
        <w:rPr>
          <w:b w:val="0"/>
          <w:bCs w:val="0"/>
          <w:sz w:val="24"/>
          <w:szCs w:val="24"/>
          <w:lang w:val="en-GB"/>
        </w:rPr>
        <w:fldChar w:fldCharType="separate"/>
      </w:r>
      <w:r>
        <w:rPr>
          <w:b w:val="0"/>
          <w:bCs w:val="0"/>
          <w:sz w:val="24"/>
          <w:szCs w:val="24"/>
          <w:lang w:val="en-GB"/>
        </w:rPr>
        <w:t>(Grassi, 2026)</w:t>
      </w:r>
      <w:r>
        <w:rPr>
          <w:b w:val="0"/>
          <w:bCs w:val="0"/>
          <w:sz w:val="24"/>
          <w:szCs w:val="24"/>
          <w:lang w:val="en-GB"/>
        </w:rPr>
        <w:fldChar w:fldCharType="end"/>
      </w:r>
      <w:r>
        <w:rPr>
          <w:b w:val="0"/>
          <w:bCs w:val="0"/>
          <w:sz w:val="24"/>
          <w:szCs w:val="24"/>
          <w:lang w:val="en-GB"/>
        </w:rPr>
        <w:t xml:space="preserve">. Method comparison was assessed by Deming and Passing-Bablok regression analyses using the mcr package (version 1.3.3.1) </w:t>
      </w:r>
      <w:r>
        <w:rPr>
          <w:b w:val="0"/>
          <w:bCs w:val="0"/>
          <w:sz w:val="24"/>
          <w:szCs w:val="24"/>
          <w:lang w:val="en-GB"/>
        </w:rPr>
        <w:fldChar w:fldCharType="begin"/>
      </w:r>
      <w:r>
        <w:rPr>
          <w:b w:val="0"/>
          <w:bCs w:val="0"/>
          <w:sz w:val="24"/>
          <w:szCs w:val="24"/>
          <w:lang w:val="en-GB"/>
        </w:rPr>
        <w:instrText xml:space="preserve"> ADDIN ZOTERO_ITEM CSL_CITATION {"citationID":"YKLSrRTC","properties":{"unsorted":false,"formattedCitation":"(Potapov et al., 2024)","plainCitation":"(Potapov et al., 2024)","noteIndex":0},"citationItems":[{"id":29358,"uris":["http://zotero.org/users/19779089/items/KSGRNAKA"],"itemData":{"id":29358,"type":"report","citation-key":"potapov2024","DOI":"10.32614/CRAN.package.mcr","genre":"manual","note":"citation-key: potapov2024","title":"&lt;span class=\"nocase\"&gt;mcr&lt;/span&gt;: Method comparison regression","URL":"https://CRAN.R-project.org/package=mcr","author":[{"family":"Potapov","given":"S."},{"family":"Model","given":"F."},{"family":"Schuetzenmeister","given":"A."},{"family":"Manuilova","given":"E."},{"family":"Dufey","given":"F."},{"family":"Raymaekers","given":"J."}],"issued":{"date-parts":[["2024"]]}}}],"schema":"https://github.com/citation-style-language/schema/raw/master/csl-citation.json"} </w:instrText>
      </w:r>
      <w:r>
        <w:rPr>
          <w:b w:val="0"/>
          <w:bCs w:val="0"/>
          <w:sz w:val="24"/>
          <w:szCs w:val="24"/>
          <w:lang w:val="en-GB"/>
        </w:rPr>
        <w:fldChar w:fldCharType="separate"/>
      </w:r>
      <w:r>
        <w:rPr>
          <w:b w:val="0"/>
          <w:bCs w:val="0"/>
          <w:sz w:val="24"/>
          <w:szCs w:val="24"/>
          <w:lang w:val="en-GB"/>
        </w:rPr>
        <w:t>(Potapov et al., 2024)</w:t>
      </w:r>
      <w:r>
        <w:rPr>
          <w:b w:val="0"/>
          <w:bCs w:val="0"/>
          <w:sz w:val="24"/>
          <w:szCs w:val="24"/>
          <w:lang w:val="en-GB"/>
        </w:rPr>
        <w:fldChar w:fldCharType="end"/>
      </w:r>
      <w:r>
        <w:rPr>
          <w:b w:val="0"/>
          <w:bCs w:val="0"/>
          <w:sz w:val="24"/>
          <w:szCs w:val="24"/>
          <w:lang w:val="en-GB"/>
        </w:rPr>
        <w:t>.</w:t>
      </w:r>
    </w:p>
    <w:p w14:paraId="69C4854C" w14:textId="3AF9CAC2" w:rsidR="00E23E70" w:rsidRPr="007E4EDA" w:rsidRDefault="00783E20" w:rsidP="001E0D42">
      <w:pPr>
        <w:pStyle w:val="Ttol2"/>
        <w:spacing w:line="360" w:lineRule="auto"/>
        <w:rPr>
          <w:b w:val="0"/>
          <w:bCs w:val="0"/>
          <w:sz w:val="24"/>
          <w:szCs w:val="24"/>
          <w:lang w:val="en-GB"/>
        </w:rPr>
      </w:pPr>
      <w:r>
        <w:rPr>
          <w:b w:val="0"/>
          <w:bCs w:val="0"/>
          <w:sz w:val="24"/>
          <w:szCs w:val="24"/>
          <w:lang w:val="en-GB"/>
        </w:rPr>
        <w:t>The linear regression relating the reference method to the alternative method was evaluated in terms of linearity, functional form, and heteroscedasticity using the Harvey-Collier test, the Ramsey RESET test, and the Harrison-McCabe test, respectively, as implemented in the lmtest package. Additionally, the limit of detection (LOD) and limit of quantification (LOQ) were determined following ISO 16140-2 and ISO 13843.</w:t>
      </w:r>
      <w:r>
        <w:rPr>
          <w:sz w:val="24"/>
          <w:szCs w:val="24"/>
          <w:lang w:val="en-GB"/>
        </w:rPr>
        <w:t xml:space="preserve"> </w:t>
      </w:r>
    </w:p>
    <w:p w14:paraId="2CBC0F9C" w14:textId="77777777" w:rsidR="00E23E70" w:rsidRPr="007E4EDA" w:rsidRDefault="00E23E70" w:rsidP="000C34B2">
      <w:pPr>
        <w:spacing w:after="80" w:line="360" w:lineRule="auto"/>
        <w:rPr>
          <w:sz w:val="24"/>
          <w:szCs w:val="24"/>
          <w:lang w:val="en-GB"/>
        </w:rPr>
      </w:pPr>
    </w:p>
    <w:p w14:paraId="2F6315C4" w14:textId="77777777" w:rsidR="007630FE" w:rsidRPr="007E4EDA" w:rsidRDefault="00C57A2D" w:rsidP="00E7232A">
      <w:pPr>
        <w:pStyle w:val="Ttol1"/>
        <w:spacing w:before="240" w:after="120" w:line="360" w:lineRule="auto"/>
        <w:rPr>
          <w:lang w:val="en-GB"/>
        </w:rPr>
      </w:pPr>
      <w:r>
        <w:rPr>
          <w:lang w:val="en-GB"/>
        </w:rPr>
        <w:t>3. Results</w:t>
      </w:r>
    </w:p>
    <w:p w14:paraId="0746D88C" w14:textId="09F95F91" w:rsidR="007630FE" w:rsidRPr="007E4EDA" w:rsidRDefault="00C57A2D" w:rsidP="00E7232A">
      <w:pPr>
        <w:pStyle w:val="Ttol2"/>
        <w:spacing w:line="360" w:lineRule="auto"/>
        <w:rPr>
          <w:sz w:val="24"/>
          <w:szCs w:val="24"/>
          <w:lang w:val="en-GB"/>
        </w:rPr>
      </w:pPr>
      <w:r>
        <w:rPr>
          <w:sz w:val="24"/>
          <w:szCs w:val="24"/>
          <w:lang w:val="en-GB"/>
        </w:rPr>
        <w:t>3.1. Water matrices</w:t>
      </w:r>
    </w:p>
    <w:p w14:paraId="53387AA2" w14:textId="4DBD12D6" w:rsidR="00252266" w:rsidRPr="007E4EDA" w:rsidRDefault="00252266" w:rsidP="00252266">
      <w:pPr>
        <w:pStyle w:val="Ttol1"/>
        <w:spacing w:before="240" w:after="120" w:line="360" w:lineRule="auto"/>
        <w:rPr>
          <w:b w:val="0"/>
          <w:bCs w:val="0"/>
          <w:lang w:val="en-GB"/>
        </w:rPr>
      </w:pPr>
      <w:r>
        <w:rPr>
          <w:b w:val="0"/>
          <w:bCs w:val="0"/>
          <w:lang w:val="en-GB"/>
        </w:rPr>
        <w:t xml:space="preserve">Following the processing of the 120 samples, 117 were successfully quantified for </w:t>
      </w:r>
      <w:r>
        <w:rPr>
          <w:b w:val="0"/>
          <w:bCs w:val="0"/>
          <w:i/>
          <w:iCs/>
          <w:lang w:val="en-GB"/>
        </w:rPr>
        <w:t>E. coli</w:t>
      </w:r>
      <w:r>
        <w:rPr>
          <w:b w:val="0"/>
          <w:bCs w:val="0"/>
          <w:lang w:val="en-GB"/>
        </w:rPr>
        <w:t xml:space="preserve">, whereas the number of samples quantified for total coliforms was reduced to 102. In the case of </w:t>
      </w:r>
      <w:r>
        <w:rPr>
          <w:b w:val="0"/>
          <w:bCs w:val="0"/>
          <w:i/>
          <w:iCs/>
          <w:lang w:val="en-GB"/>
        </w:rPr>
        <w:t>E. coli</w:t>
      </w:r>
      <w:r>
        <w:rPr>
          <w:b w:val="0"/>
          <w:bCs w:val="0"/>
          <w:lang w:val="en-GB"/>
        </w:rPr>
        <w:t>, two drinking water samples were excluded owing to insufficient spiking, while one wastewater sample was discarded because its concentration exceeded the quantifiable range of the MPN method, resulting in positive readings in all tubes. For total coliforms, eight drinking water samples and ten wastewater samples were excluded for the same reason, namely concentrations above the quantifiable range. In addition, three surface water samples were omitted from the final analysis due to detected lack of homogeneity, as their values fell outside the expected range.</w:t>
      </w:r>
    </w:p>
    <w:p w14:paraId="561B875D" w14:textId="3E87BD9E" w:rsidR="006467CA" w:rsidRPr="007E4EDA" w:rsidRDefault="00252266" w:rsidP="00252266">
      <w:pPr>
        <w:spacing w:after="120" w:line="360" w:lineRule="auto"/>
        <w:rPr>
          <w:sz w:val="24"/>
          <w:szCs w:val="24"/>
          <w:lang w:val="en-GB"/>
        </w:rPr>
      </w:pPr>
      <w:r>
        <w:rPr>
          <w:sz w:val="24"/>
          <w:szCs w:val="24"/>
          <w:lang w:val="en-GB"/>
        </w:rPr>
        <w:lastRenderedPageBreak/>
        <w:t xml:space="preserve">For statistical purposes, the matrices were classified into four groups according to their expected </w:t>
      </w:r>
      <w:r>
        <w:rPr>
          <w:i/>
          <w:iCs/>
          <w:sz w:val="24"/>
          <w:szCs w:val="24"/>
          <w:lang w:val="en-GB"/>
        </w:rPr>
        <w:t>E. coli</w:t>
      </w:r>
      <w:r>
        <w:rPr>
          <w:sz w:val="24"/>
          <w:szCs w:val="24"/>
          <w:lang w:val="en-GB"/>
        </w:rPr>
        <w:t xml:space="preserve"> and total coliform levels. Drinking water samples (DW) were considered separately, as they reflected low levels of both indicators. Surface water (SW) and reclaimed water (RW) were combined into a single group corresponding to intermediate levels, whereas diluted wastewater samples (WW) were assigned to a third group characterised by high levels. Marine water samples (MW) were treated as a distinct category because their salinity required prior dilution. DW and MW samples were spiked with a reference material of environmental origin, whereas SW, RW and WW samples were naturally contaminated (Figure 1). </w:t>
      </w:r>
    </w:p>
    <w:p w14:paraId="4E02D1C2" w14:textId="77777777" w:rsidR="007630FE" w:rsidRPr="007E4EDA" w:rsidRDefault="00C57A2D" w:rsidP="00E7232A">
      <w:pPr>
        <w:pStyle w:val="Ttol2"/>
        <w:spacing w:line="360" w:lineRule="auto"/>
        <w:rPr>
          <w:sz w:val="24"/>
          <w:szCs w:val="24"/>
          <w:lang w:val="en-GB"/>
        </w:rPr>
      </w:pPr>
      <w:r>
        <w:rPr>
          <w:sz w:val="24"/>
          <w:szCs w:val="24"/>
          <w:lang w:val="en-GB"/>
        </w:rPr>
        <w:t>3.2. Sensitivity</w:t>
      </w:r>
    </w:p>
    <w:p w14:paraId="7890AB0E" w14:textId="4CEFD140" w:rsidR="007630FE" w:rsidRPr="007E4EDA" w:rsidRDefault="005007AB" w:rsidP="005007AB">
      <w:pPr>
        <w:spacing w:after="120" w:line="360" w:lineRule="auto"/>
        <w:rPr>
          <w:sz w:val="24"/>
          <w:szCs w:val="24"/>
          <w:lang w:val="en-GB"/>
        </w:rPr>
      </w:pPr>
      <w:r>
        <w:rPr>
          <w:sz w:val="24"/>
          <w:szCs w:val="24"/>
          <w:lang w:val="en-GB"/>
        </w:rPr>
        <w:t xml:space="preserve">All samples positive by the reference method (ISO 9308-2) were also scored as positive by the ENUMERA®-Coli100 method (Table 1 and 2). Accordingly, the sensitivity of the alternative method was 100% for both </w:t>
      </w:r>
      <w:r>
        <w:rPr>
          <w:i/>
          <w:iCs/>
          <w:sz w:val="24"/>
          <w:szCs w:val="24"/>
          <w:lang w:val="en-GB"/>
        </w:rPr>
        <w:t>E. coli</w:t>
      </w:r>
      <w:r>
        <w:rPr>
          <w:sz w:val="24"/>
          <w:szCs w:val="24"/>
          <w:lang w:val="en-GB"/>
        </w:rPr>
        <w:t xml:space="preserve"> and total coliforms across all water matrices included in the study. </w:t>
      </w:r>
    </w:p>
    <w:p w14:paraId="60FF403B" w14:textId="77777777" w:rsidR="007630FE" w:rsidRPr="007E4EDA" w:rsidRDefault="00C57A2D" w:rsidP="00E7232A">
      <w:pPr>
        <w:pStyle w:val="Ttol2"/>
        <w:spacing w:line="360" w:lineRule="auto"/>
        <w:rPr>
          <w:sz w:val="24"/>
          <w:szCs w:val="24"/>
          <w:lang w:val="en-GB"/>
        </w:rPr>
      </w:pPr>
      <w:r>
        <w:rPr>
          <w:sz w:val="24"/>
          <w:szCs w:val="24"/>
          <w:lang w:val="en-GB"/>
        </w:rPr>
        <w:t>3.3. Selectivity (inclusivity) and specificity (exclusivity)</w:t>
      </w:r>
    </w:p>
    <w:p w14:paraId="0E168AFC" w14:textId="55800EB7" w:rsidR="00A87A77" w:rsidRPr="007E4EDA" w:rsidRDefault="00A87A77" w:rsidP="00B01E19">
      <w:pPr>
        <w:spacing w:after="120" w:line="360" w:lineRule="auto"/>
        <w:rPr>
          <w:sz w:val="24"/>
          <w:szCs w:val="24"/>
          <w:lang w:val="en-GB"/>
        </w:rPr>
      </w:pPr>
      <w:r>
        <w:rPr>
          <w:sz w:val="24"/>
          <w:szCs w:val="24"/>
          <w:lang w:val="en-GB"/>
        </w:rPr>
        <w:t xml:space="preserve">Selectivity testing was performed using 20 coliform strains, including 13 </w:t>
      </w:r>
      <w:r>
        <w:rPr>
          <w:i/>
          <w:iCs/>
          <w:sz w:val="24"/>
          <w:szCs w:val="24"/>
          <w:lang w:val="en-GB"/>
        </w:rPr>
        <w:t>E. coli</w:t>
      </w:r>
      <w:r>
        <w:rPr>
          <w:sz w:val="24"/>
          <w:szCs w:val="24"/>
          <w:lang w:val="en-GB"/>
        </w:rPr>
        <w:t xml:space="preserve"> strains and seven strains belonging to other coliform genera (Table 1). The ENUMERA®-Coli100 method correctly identified all coliform strains in full agreement with ISO 9308-2. All </w:t>
      </w:r>
      <w:r>
        <w:rPr>
          <w:i/>
          <w:iCs/>
          <w:sz w:val="24"/>
          <w:szCs w:val="24"/>
          <w:lang w:val="en-GB"/>
        </w:rPr>
        <w:t>E. coli</w:t>
      </w:r>
      <w:r>
        <w:rPr>
          <w:sz w:val="24"/>
          <w:szCs w:val="24"/>
          <w:lang w:val="en-GB"/>
        </w:rPr>
        <w:t xml:space="preserve"> strains, including clinically relevant serotypes such as O25:H4, were correctly detected as positive for both total coliforms and </w:t>
      </w:r>
      <w:r>
        <w:rPr>
          <w:i/>
          <w:iCs/>
          <w:sz w:val="24"/>
          <w:szCs w:val="24"/>
          <w:lang w:val="en-GB"/>
        </w:rPr>
        <w:t>E. coli</w:t>
      </w:r>
      <w:r>
        <w:rPr>
          <w:sz w:val="24"/>
          <w:szCs w:val="24"/>
          <w:lang w:val="en-GB"/>
        </w:rPr>
        <w:t xml:space="preserve">. The only exception was </w:t>
      </w:r>
      <w:r>
        <w:rPr>
          <w:i/>
          <w:iCs/>
          <w:sz w:val="24"/>
          <w:szCs w:val="24"/>
          <w:lang w:val="en-GB"/>
        </w:rPr>
        <w:t>E. coli</w:t>
      </w:r>
      <w:r>
        <w:rPr>
          <w:sz w:val="24"/>
          <w:szCs w:val="24"/>
          <w:lang w:val="en-GB"/>
        </w:rPr>
        <w:t xml:space="preserve"> DH5α, a laboratory strain lacking β-galactosidase activity, which was therefore negative for total coliform detection but positive for </w:t>
      </w:r>
      <w:r>
        <w:rPr>
          <w:i/>
          <w:iCs/>
          <w:sz w:val="24"/>
          <w:szCs w:val="24"/>
          <w:lang w:val="en-GB"/>
        </w:rPr>
        <w:t>E. coli</w:t>
      </w:r>
      <w:r>
        <w:rPr>
          <w:sz w:val="24"/>
          <w:szCs w:val="24"/>
          <w:lang w:val="en-GB"/>
        </w:rPr>
        <w:t xml:space="preserve"> in both methods. Likewise, non-</w:t>
      </w:r>
      <w:r>
        <w:rPr>
          <w:i/>
          <w:iCs/>
          <w:sz w:val="24"/>
          <w:szCs w:val="24"/>
          <w:lang w:val="en-GB"/>
        </w:rPr>
        <w:t>E. coli</w:t>
      </w:r>
      <w:r>
        <w:rPr>
          <w:sz w:val="24"/>
          <w:szCs w:val="24"/>
          <w:lang w:val="en-GB"/>
        </w:rPr>
        <w:t xml:space="preserve"> coliforms such as </w:t>
      </w:r>
      <w:r>
        <w:rPr>
          <w:i/>
          <w:iCs/>
          <w:sz w:val="24"/>
          <w:szCs w:val="24"/>
          <w:lang w:val="en-GB"/>
        </w:rPr>
        <w:t>Citrobacter freundii</w:t>
      </w:r>
      <w:r>
        <w:rPr>
          <w:sz w:val="24"/>
          <w:szCs w:val="24"/>
          <w:lang w:val="en-GB"/>
        </w:rPr>
        <w:t xml:space="preserve">, </w:t>
      </w:r>
      <w:r>
        <w:rPr>
          <w:i/>
          <w:iCs/>
          <w:sz w:val="24"/>
          <w:szCs w:val="24"/>
          <w:lang w:val="en-GB"/>
        </w:rPr>
        <w:t>Enterobacter cloacae</w:t>
      </w:r>
      <w:r>
        <w:rPr>
          <w:sz w:val="24"/>
          <w:szCs w:val="24"/>
          <w:lang w:val="en-GB"/>
        </w:rPr>
        <w:t xml:space="preserve">, </w:t>
      </w:r>
      <w:r>
        <w:rPr>
          <w:i/>
          <w:iCs/>
          <w:sz w:val="24"/>
          <w:szCs w:val="24"/>
          <w:lang w:val="en-GB"/>
        </w:rPr>
        <w:t>Klebsiella pneumoniae</w:t>
      </w:r>
      <w:r>
        <w:rPr>
          <w:sz w:val="24"/>
          <w:szCs w:val="24"/>
          <w:lang w:val="en-GB"/>
        </w:rPr>
        <w:t xml:space="preserve">, and </w:t>
      </w:r>
      <w:r>
        <w:rPr>
          <w:i/>
          <w:iCs/>
          <w:sz w:val="24"/>
          <w:szCs w:val="24"/>
          <w:lang w:val="en-GB"/>
        </w:rPr>
        <w:t>Kluyvera ascorbata</w:t>
      </w:r>
      <w:r>
        <w:rPr>
          <w:sz w:val="24"/>
          <w:szCs w:val="24"/>
          <w:lang w:val="en-GB"/>
        </w:rPr>
        <w:t xml:space="preserve"> were correctly scored as coliform-positive and </w:t>
      </w:r>
      <w:r>
        <w:rPr>
          <w:i/>
          <w:iCs/>
          <w:sz w:val="24"/>
          <w:szCs w:val="24"/>
          <w:lang w:val="en-GB"/>
        </w:rPr>
        <w:t>E. coli</w:t>
      </w:r>
      <w:r>
        <w:rPr>
          <w:sz w:val="24"/>
          <w:szCs w:val="24"/>
          <w:lang w:val="en-GB"/>
        </w:rPr>
        <w:t>-negative by both methods.</w:t>
      </w:r>
    </w:p>
    <w:p w14:paraId="1B9E7FBA" w14:textId="2F418D43" w:rsidR="007630FE" w:rsidRPr="007E4EDA" w:rsidRDefault="003F5136" w:rsidP="00B01E19">
      <w:pPr>
        <w:spacing w:after="120" w:line="360" w:lineRule="auto"/>
        <w:rPr>
          <w:sz w:val="24"/>
          <w:szCs w:val="24"/>
          <w:lang w:val="en-GB"/>
        </w:rPr>
      </w:pPr>
      <w:r>
        <w:rPr>
          <w:sz w:val="24"/>
          <w:szCs w:val="24"/>
          <w:lang w:val="en-GB"/>
        </w:rPr>
        <w:t xml:space="preserve">Specificity testing was carried out using 10 non-coliform strains (Table 2). No false-positive results were observed for </w:t>
      </w:r>
      <w:r>
        <w:rPr>
          <w:i/>
          <w:iCs/>
          <w:sz w:val="24"/>
          <w:szCs w:val="24"/>
          <w:lang w:val="en-GB"/>
        </w:rPr>
        <w:t>Salmonella enteritidis</w:t>
      </w:r>
      <w:r>
        <w:rPr>
          <w:sz w:val="24"/>
          <w:szCs w:val="24"/>
          <w:lang w:val="en-GB"/>
        </w:rPr>
        <w:t xml:space="preserve">, </w:t>
      </w:r>
      <w:r>
        <w:rPr>
          <w:i/>
          <w:iCs/>
          <w:sz w:val="24"/>
          <w:szCs w:val="24"/>
          <w:lang w:val="en-GB"/>
        </w:rPr>
        <w:t>Aeromonas</w:t>
      </w:r>
      <w:r>
        <w:rPr>
          <w:sz w:val="24"/>
          <w:szCs w:val="24"/>
          <w:lang w:val="en-GB"/>
        </w:rPr>
        <w:t xml:space="preserve"> sp., </w:t>
      </w:r>
      <w:r>
        <w:rPr>
          <w:i/>
          <w:iCs/>
          <w:sz w:val="24"/>
          <w:szCs w:val="24"/>
          <w:lang w:val="en-GB"/>
        </w:rPr>
        <w:t>Pseudomonas aeruginosa</w:t>
      </w:r>
      <w:r>
        <w:rPr>
          <w:sz w:val="24"/>
          <w:szCs w:val="24"/>
          <w:lang w:val="en-GB"/>
        </w:rPr>
        <w:t xml:space="preserve">, </w:t>
      </w:r>
      <w:r>
        <w:rPr>
          <w:i/>
          <w:iCs/>
          <w:sz w:val="24"/>
          <w:szCs w:val="24"/>
          <w:lang w:val="en-GB"/>
        </w:rPr>
        <w:t>Enterococcus faecalis</w:t>
      </w:r>
      <w:r>
        <w:rPr>
          <w:sz w:val="24"/>
          <w:szCs w:val="24"/>
          <w:lang w:val="en-GB"/>
        </w:rPr>
        <w:t xml:space="preserve">, or </w:t>
      </w:r>
      <w:r>
        <w:rPr>
          <w:i/>
          <w:iCs/>
          <w:sz w:val="24"/>
          <w:szCs w:val="24"/>
          <w:lang w:val="en-GB"/>
        </w:rPr>
        <w:t>Staphylococcus aureus</w:t>
      </w:r>
      <w:r>
        <w:rPr>
          <w:sz w:val="24"/>
          <w:szCs w:val="24"/>
          <w:lang w:val="en-GB"/>
        </w:rPr>
        <w:t xml:space="preserve">. In contrast, </w:t>
      </w:r>
      <w:r>
        <w:rPr>
          <w:i/>
          <w:iCs/>
          <w:sz w:val="24"/>
          <w:szCs w:val="24"/>
          <w:lang w:val="en-GB"/>
        </w:rPr>
        <w:t>Shigella dysenteriae</w:t>
      </w:r>
      <w:r>
        <w:rPr>
          <w:sz w:val="24"/>
          <w:szCs w:val="24"/>
          <w:lang w:val="en-GB"/>
        </w:rPr>
        <w:t xml:space="preserve">, </w:t>
      </w:r>
      <w:r>
        <w:rPr>
          <w:i/>
          <w:iCs/>
          <w:sz w:val="24"/>
          <w:szCs w:val="24"/>
          <w:lang w:val="en-GB"/>
        </w:rPr>
        <w:t>Shigella flexneri</w:t>
      </w:r>
      <w:r>
        <w:rPr>
          <w:sz w:val="24"/>
          <w:szCs w:val="24"/>
          <w:lang w:val="en-GB"/>
        </w:rPr>
        <w:t xml:space="preserve">, and </w:t>
      </w:r>
      <w:r>
        <w:rPr>
          <w:i/>
          <w:iCs/>
          <w:sz w:val="24"/>
          <w:szCs w:val="24"/>
          <w:lang w:val="en-GB"/>
        </w:rPr>
        <w:t>Shigella sonnei</w:t>
      </w:r>
      <w:r>
        <w:rPr>
          <w:sz w:val="24"/>
          <w:szCs w:val="24"/>
          <w:lang w:val="en-GB"/>
        </w:rPr>
        <w:t xml:space="preserve"> tested positive for both total coliform and </w:t>
      </w:r>
      <w:r>
        <w:rPr>
          <w:i/>
          <w:iCs/>
          <w:sz w:val="24"/>
          <w:szCs w:val="24"/>
          <w:lang w:val="en-GB"/>
        </w:rPr>
        <w:t>E. coli</w:t>
      </w:r>
      <w:r>
        <w:rPr>
          <w:sz w:val="24"/>
          <w:szCs w:val="24"/>
          <w:lang w:val="en-GB"/>
        </w:rPr>
        <w:t xml:space="preserve"> markers in the ENUMERA®-Coli100 method as well as in ISO 9308-2. Overall, the selectivity and specificity profiles of the ENUMERA®-Coli100 method were equivalent to those of the reference method.</w:t>
      </w:r>
    </w:p>
    <w:p w14:paraId="5C2C51C5" w14:textId="1A5D82B5" w:rsidR="0052530C" w:rsidRPr="007E4EDA" w:rsidRDefault="0052530C" w:rsidP="0052530C">
      <w:pPr>
        <w:pStyle w:val="Ttol2"/>
        <w:spacing w:line="360" w:lineRule="auto"/>
        <w:rPr>
          <w:sz w:val="24"/>
          <w:szCs w:val="24"/>
          <w:lang w:val="en-GB"/>
        </w:rPr>
      </w:pPr>
      <w:bookmarkStart w:id="0" w:name="_Hlk231385955"/>
      <w:r>
        <w:rPr>
          <w:sz w:val="24"/>
          <w:szCs w:val="24"/>
          <w:lang w:val="en-GB"/>
        </w:rPr>
        <w:lastRenderedPageBreak/>
        <w:t>3.4. Precision</w:t>
      </w:r>
    </w:p>
    <w:p w14:paraId="2B49C823" w14:textId="038B3D0B" w:rsidR="0052530C" w:rsidRPr="007E4EDA" w:rsidRDefault="0052530C" w:rsidP="0052530C">
      <w:pPr>
        <w:spacing w:after="80" w:line="360" w:lineRule="auto"/>
        <w:rPr>
          <w:sz w:val="24"/>
          <w:szCs w:val="24"/>
          <w:lang w:val="en-GB"/>
        </w:rPr>
      </w:pPr>
      <w:r>
        <w:rPr>
          <w:sz w:val="24"/>
          <w:szCs w:val="24"/>
          <w:lang w:val="en-GB"/>
        </w:rPr>
        <w:t xml:space="preserve">Precision of the ENUMERA®-Coli100 method was expressed as the standard deviation of reproducibility (SR) and the coefficient of variation (CV) for each matrix and defined group (Table 3). For </w:t>
      </w:r>
      <w:r>
        <w:rPr>
          <w:i/>
          <w:iCs/>
          <w:sz w:val="24"/>
          <w:szCs w:val="24"/>
          <w:lang w:val="en-GB"/>
        </w:rPr>
        <w:t>E. coli</w:t>
      </w:r>
      <w:r>
        <w:rPr>
          <w:sz w:val="24"/>
          <w:szCs w:val="24"/>
          <w:lang w:val="en-GB"/>
        </w:rPr>
        <w:t xml:space="preserve">, SR ranged from 0.060 to 0.143. For total </w:t>
      </w:r>
      <w:bookmarkEnd w:id="0"/>
      <w:r>
        <w:rPr>
          <w:sz w:val="24"/>
          <w:szCs w:val="24"/>
          <w:lang w:val="en-GB"/>
        </w:rPr>
        <w:t xml:space="preserve">coliforms, SR ranged from 0.067 to 0.195 log10. The corresponding CV values ranged from 12.98 % to 28.12 % for </w:t>
      </w:r>
      <w:r>
        <w:rPr>
          <w:i/>
          <w:iCs/>
          <w:sz w:val="24"/>
          <w:szCs w:val="24"/>
          <w:lang w:val="en-GB"/>
        </w:rPr>
        <w:t>E. coli</w:t>
      </w:r>
      <w:r>
        <w:rPr>
          <w:sz w:val="24"/>
          <w:szCs w:val="24"/>
          <w:lang w:val="en-GB"/>
        </w:rPr>
        <w:t xml:space="preserve"> and from 14.28 % to 36.20 % for total coliforms. All values were within the generally accepted performance limits of 0.2 log10 for SR and 37 % for CV. These results indicate that the precision of the ENUMERA®-Coli100 method was satisfactory in all water matrices and comparable to that of the reference method (Figure 2).</w:t>
      </w:r>
    </w:p>
    <w:p w14:paraId="4A993EC3" w14:textId="06973EEA" w:rsidR="0052530C" w:rsidRPr="007E4EDA" w:rsidRDefault="0052530C" w:rsidP="0052530C">
      <w:pPr>
        <w:pStyle w:val="Ttol2"/>
        <w:spacing w:line="360" w:lineRule="auto"/>
        <w:rPr>
          <w:sz w:val="24"/>
          <w:szCs w:val="24"/>
          <w:lang w:val="en-GB"/>
        </w:rPr>
      </w:pPr>
      <w:r>
        <w:rPr>
          <w:sz w:val="24"/>
          <w:szCs w:val="24"/>
          <w:lang w:val="en-GB"/>
        </w:rPr>
        <w:t>3.5. Overall performance of the method</w:t>
      </w:r>
    </w:p>
    <w:p w14:paraId="74099E12" w14:textId="77777777" w:rsidR="0052530C" w:rsidRPr="007E4EDA" w:rsidRDefault="0052530C" w:rsidP="0052530C">
      <w:pPr>
        <w:spacing w:after="120" w:line="360" w:lineRule="auto"/>
        <w:rPr>
          <w:sz w:val="24"/>
          <w:szCs w:val="24"/>
          <w:lang w:val="en-GB"/>
        </w:rPr>
      </w:pPr>
      <w:r>
        <w:rPr>
          <w:sz w:val="24"/>
          <w:szCs w:val="24"/>
          <w:lang w:val="en-GB"/>
        </w:rPr>
        <w:t>The productivity ratio (P</w:t>
      </w:r>
      <w:r>
        <w:rPr>
          <w:sz w:val="24"/>
          <w:szCs w:val="24"/>
          <w:vertAlign w:val="subscript"/>
          <w:lang w:val="en-GB"/>
        </w:rPr>
        <w:t>R</w:t>
      </w:r>
      <w:r>
        <w:rPr>
          <w:sz w:val="24"/>
          <w:szCs w:val="24"/>
          <w:lang w:val="en-GB"/>
        </w:rPr>
        <w:t>) was defined as (ENUMERA (MPN/100 mL)/REFERENCE (MPN/100 mL)). For each type of matrix, uncertainty around the median ratio was estimated by bootstrap using bias-corrected and accelerated (BCa) 95 % confidence intervals.</w:t>
      </w:r>
    </w:p>
    <w:p w14:paraId="30021393" w14:textId="599CB619" w:rsidR="0052530C" w:rsidRPr="007E4EDA" w:rsidRDefault="0052530C" w:rsidP="0052530C">
      <w:pPr>
        <w:spacing w:after="120" w:line="360" w:lineRule="auto"/>
        <w:rPr>
          <w:sz w:val="24"/>
          <w:szCs w:val="24"/>
          <w:lang w:val="en-GB"/>
        </w:rPr>
      </w:pPr>
      <w:r>
        <w:rPr>
          <w:sz w:val="24"/>
          <w:szCs w:val="24"/>
          <w:lang w:val="en-GB"/>
        </w:rPr>
        <w:t>To assess whether the P</w:t>
      </w:r>
      <w:r>
        <w:rPr>
          <w:sz w:val="24"/>
          <w:szCs w:val="24"/>
          <w:vertAlign w:val="subscript"/>
          <w:lang w:val="en-GB"/>
        </w:rPr>
        <w:t>R</w:t>
      </w:r>
      <w:r>
        <w:rPr>
          <w:sz w:val="24"/>
          <w:szCs w:val="24"/>
          <w:lang w:val="en-GB"/>
        </w:rPr>
        <w:t xml:space="preserve"> differed significantly from 1, a two-sided one-sample Wilcoxon signed-rank test was performed. The resulting p-values were adjusted for multiple comparisons using the Holm procedure. For </w:t>
      </w:r>
      <w:r>
        <w:rPr>
          <w:i/>
          <w:iCs/>
          <w:sz w:val="24"/>
          <w:szCs w:val="24"/>
          <w:lang w:val="en-GB"/>
        </w:rPr>
        <w:t>E. coli</w:t>
      </w:r>
      <w:r>
        <w:rPr>
          <w:sz w:val="24"/>
          <w:szCs w:val="24"/>
          <w:lang w:val="en-GB"/>
        </w:rPr>
        <w:t xml:space="preserve">, a statistically significant deviation from 1 after Holm correction was observed only for MW (adjusted </w:t>
      </w:r>
      <w:r>
        <w:rPr>
          <w:i/>
          <w:iCs/>
          <w:sz w:val="24"/>
          <w:szCs w:val="24"/>
          <w:lang w:val="en-GB"/>
        </w:rPr>
        <w:t>p</w:t>
      </w:r>
      <w:r>
        <w:rPr>
          <w:sz w:val="24"/>
          <w:szCs w:val="24"/>
          <w:lang w:val="en-GB"/>
        </w:rPr>
        <w:t xml:space="preserve"> ≤ 0.05), whereas no statistically significant differences were detected for the remaining matrices and groups. A similar pattern was observed for total coliforms: all matrices yielded adjusted </w:t>
      </w:r>
      <w:r>
        <w:rPr>
          <w:i/>
          <w:iCs/>
          <w:sz w:val="24"/>
          <w:szCs w:val="24"/>
          <w:lang w:val="en-GB"/>
        </w:rPr>
        <w:t>p</w:t>
      </w:r>
      <w:r>
        <w:rPr>
          <w:sz w:val="24"/>
          <w:szCs w:val="24"/>
          <w:lang w:val="en-GB"/>
        </w:rPr>
        <w:t>-values &gt; 0.05, with the exception of the intermediate-level group (SW + RW). From a practical standpoint, the MPN method in this format consists of a tray comprising three different types of wells, whose number and volume are known, which are filled with the sample and a specific culture medium. To verify that neither the medium nor the tray exerted an effect on the P</w:t>
      </w:r>
      <w:r>
        <w:rPr>
          <w:sz w:val="24"/>
          <w:szCs w:val="24"/>
          <w:vertAlign w:val="subscript"/>
          <w:lang w:val="en-GB"/>
        </w:rPr>
        <w:t>R</w:t>
      </w:r>
      <w:r>
        <w:rPr>
          <w:sz w:val="24"/>
          <w:szCs w:val="24"/>
          <w:lang w:val="en-GB"/>
        </w:rPr>
        <w:t xml:space="preserve">, a paired experiment was conducted in which ten MPN counts of </w:t>
      </w:r>
      <w:r>
        <w:rPr>
          <w:i/>
          <w:iCs/>
          <w:sz w:val="24"/>
          <w:szCs w:val="24"/>
          <w:lang w:val="en-GB"/>
        </w:rPr>
        <w:t>E. coli</w:t>
      </w:r>
      <w:r>
        <w:rPr>
          <w:sz w:val="24"/>
          <w:szCs w:val="24"/>
          <w:lang w:val="en-GB"/>
        </w:rPr>
        <w:t xml:space="preserve"> and total coliforms were performed using diluted wastewater under the four possible tray-medium combinations. The combinations tested were: the reference method with the reference tray (R.R), the reference method with the ENUMERA® Tray (R.E), the ENUMERA®-Coli100 method with the ENUMERA® Tray (E.E), and the ENUMERA®-Coli100 method with the reference tray (E.R). This yielded four types of P</w:t>
      </w:r>
      <w:r>
        <w:rPr>
          <w:sz w:val="24"/>
          <w:szCs w:val="24"/>
          <w:vertAlign w:val="subscript"/>
          <w:lang w:val="en-GB"/>
        </w:rPr>
        <w:t>R</w:t>
      </w:r>
      <w:r>
        <w:rPr>
          <w:sz w:val="24"/>
          <w:szCs w:val="24"/>
          <w:lang w:val="en-GB"/>
        </w:rPr>
        <w:t xml:space="preserve"> ratios: R.R/R.R, R.E/R.R, E.E/R.R and E.R/R.R. </w:t>
      </w:r>
    </w:p>
    <w:p w14:paraId="5AB5ABC4" w14:textId="77777777" w:rsidR="0052530C" w:rsidRPr="007E4EDA" w:rsidRDefault="0052530C" w:rsidP="0052530C">
      <w:pPr>
        <w:spacing w:after="120" w:line="360" w:lineRule="auto"/>
        <w:rPr>
          <w:sz w:val="24"/>
          <w:szCs w:val="24"/>
          <w:lang w:val="en-GB"/>
        </w:rPr>
      </w:pPr>
      <w:r>
        <w:rPr>
          <w:sz w:val="24"/>
          <w:szCs w:val="24"/>
          <w:lang w:val="en-GB"/>
        </w:rPr>
        <w:t xml:space="preserve">Using a BCa approach and applying the Holm procedure for </w:t>
      </w:r>
      <w:r>
        <w:rPr>
          <w:i/>
          <w:iCs/>
          <w:sz w:val="24"/>
          <w:szCs w:val="24"/>
          <w:lang w:val="en-GB"/>
        </w:rPr>
        <w:t>p</w:t>
      </w:r>
      <w:r>
        <w:rPr>
          <w:sz w:val="24"/>
          <w:szCs w:val="24"/>
          <w:lang w:val="en-GB"/>
        </w:rPr>
        <w:t xml:space="preserve">-value adjustment, all </w:t>
      </w:r>
      <w:r>
        <w:rPr>
          <w:i/>
          <w:iCs/>
          <w:sz w:val="24"/>
          <w:szCs w:val="24"/>
          <w:lang w:val="en-GB"/>
        </w:rPr>
        <w:t>p</w:t>
      </w:r>
      <w:r>
        <w:rPr>
          <w:sz w:val="24"/>
          <w:szCs w:val="24"/>
          <w:lang w:val="en-GB"/>
        </w:rPr>
        <w:t>-values obtained for the P</w:t>
      </w:r>
      <w:r>
        <w:rPr>
          <w:sz w:val="24"/>
          <w:szCs w:val="24"/>
          <w:vertAlign w:val="subscript"/>
          <w:lang w:val="en-GB"/>
        </w:rPr>
        <w:t>R</w:t>
      </w:r>
      <w:r>
        <w:rPr>
          <w:sz w:val="24"/>
          <w:szCs w:val="24"/>
          <w:lang w:val="en-GB"/>
        </w:rPr>
        <w:t xml:space="preserve"> of both </w:t>
      </w:r>
      <w:r>
        <w:rPr>
          <w:i/>
          <w:iCs/>
          <w:sz w:val="24"/>
          <w:szCs w:val="24"/>
          <w:lang w:val="en-GB"/>
        </w:rPr>
        <w:t>E. coli</w:t>
      </w:r>
      <w:r>
        <w:rPr>
          <w:sz w:val="24"/>
          <w:szCs w:val="24"/>
          <w:lang w:val="en-GB"/>
        </w:rPr>
        <w:t xml:space="preserve"> and total coliforms were &gt; 0.05, indicating the absence of statistically significant differences in all cases.</w:t>
      </w:r>
    </w:p>
    <w:p w14:paraId="068B7558" w14:textId="44BC58A0" w:rsidR="0052530C" w:rsidRPr="007E4EDA" w:rsidRDefault="0052530C" w:rsidP="0052530C">
      <w:pPr>
        <w:pStyle w:val="Ttol2"/>
        <w:spacing w:line="360" w:lineRule="auto"/>
        <w:rPr>
          <w:sz w:val="24"/>
          <w:szCs w:val="24"/>
          <w:lang w:val="en-GB"/>
        </w:rPr>
      </w:pPr>
      <w:r>
        <w:rPr>
          <w:sz w:val="24"/>
          <w:szCs w:val="24"/>
          <w:lang w:val="en-GB"/>
        </w:rPr>
        <w:lastRenderedPageBreak/>
        <w:t>3.6. Relative trueness</w:t>
      </w:r>
    </w:p>
    <w:p w14:paraId="1F84A5AB" w14:textId="2414B5F6" w:rsidR="00423687" w:rsidRPr="007E4EDA" w:rsidRDefault="00423687" w:rsidP="0098333F">
      <w:pPr>
        <w:spacing w:after="120" w:line="360" w:lineRule="auto"/>
        <w:rPr>
          <w:sz w:val="24"/>
          <w:szCs w:val="24"/>
          <w:lang w:val="en-GB"/>
        </w:rPr>
      </w:pPr>
      <w:r>
        <w:rPr>
          <w:sz w:val="24"/>
          <w:szCs w:val="24"/>
          <w:lang w:val="en-GB"/>
        </w:rPr>
        <w:t>Relative trueness was evaluated by Bland-Altman analysis with all combined matrices. The Bland-Altman analysis (log</w:t>
      </w:r>
      <w:r>
        <w:rPr>
          <w:sz w:val="24"/>
          <w:szCs w:val="24"/>
          <w:vertAlign w:val="subscript"/>
          <w:lang w:val="en-GB"/>
        </w:rPr>
        <w:t>10</w:t>
      </w:r>
      <w:r>
        <w:rPr>
          <w:sz w:val="24"/>
          <w:szCs w:val="24"/>
          <w:lang w:val="en-GB"/>
        </w:rPr>
        <w:t xml:space="preserve"> (x + 1) scale) demonstrated a good overall agreement between the ISO 9308-2 reference method and the ENUMERA®-Coli100 assay for both </w:t>
      </w:r>
      <w:r>
        <w:rPr>
          <w:i/>
          <w:iCs/>
          <w:sz w:val="24"/>
          <w:szCs w:val="24"/>
          <w:lang w:val="en-GB"/>
        </w:rPr>
        <w:t>E. coli</w:t>
      </w:r>
      <w:r>
        <w:rPr>
          <w:sz w:val="24"/>
          <w:szCs w:val="24"/>
          <w:lang w:val="en-GB"/>
        </w:rPr>
        <w:t xml:space="preserve"> and total coliforms across all water matrices.</w:t>
      </w:r>
    </w:p>
    <w:p w14:paraId="3ED443D9" w14:textId="0986C090" w:rsidR="00423687" w:rsidRPr="007E4EDA" w:rsidRDefault="00423687" w:rsidP="0098333F">
      <w:pPr>
        <w:spacing w:after="120" w:line="360" w:lineRule="auto"/>
        <w:rPr>
          <w:sz w:val="24"/>
          <w:szCs w:val="24"/>
          <w:lang w:val="en-GB"/>
        </w:rPr>
      </w:pPr>
      <w:r>
        <w:rPr>
          <w:sz w:val="24"/>
          <w:szCs w:val="24"/>
          <w:lang w:val="en-GB"/>
        </w:rPr>
        <w:t xml:space="preserve">For </w:t>
      </w:r>
      <w:r>
        <w:rPr>
          <w:i/>
          <w:iCs/>
          <w:sz w:val="24"/>
          <w:szCs w:val="24"/>
          <w:lang w:val="en-GB"/>
        </w:rPr>
        <w:t>E. coli</w:t>
      </w:r>
      <w:r>
        <w:rPr>
          <w:sz w:val="24"/>
          <w:szCs w:val="24"/>
          <w:lang w:val="en-GB"/>
        </w:rPr>
        <w:t xml:space="preserve"> (n = 114), a small negative bias was observed (-0.066 log₁₀ units; 95 % CI: -0.092 to -0.041), indicating a slight tendency of the ENUMERA® method to underestimate concentrations relative to the reference method. The limits of agreement ranged from -0.335 to 0.202 log</w:t>
      </w:r>
      <w:r>
        <w:rPr>
          <w:sz w:val="24"/>
          <w:szCs w:val="24"/>
          <w:vertAlign w:val="subscript"/>
          <w:lang w:val="en-GB"/>
        </w:rPr>
        <w:t>10</w:t>
      </w:r>
      <w:r>
        <w:rPr>
          <w:sz w:val="24"/>
          <w:szCs w:val="24"/>
          <w:lang w:val="en-GB"/>
        </w:rPr>
        <w:t xml:space="preserve"> units, with most observations distributed evenly around the mean difference and no evident systematic trend across the concentration range.</w:t>
      </w:r>
    </w:p>
    <w:p w14:paraId="703BB48B" w14:textId="77777777" w:rsidR="00423687" w:rsidRPr="007E4EDA" w:rsidRDefault="00423687" w:rsidP="0098333F">
      <w:pPr>
        <w:spacing w:after="120" w:line="360" w:lineRule="auto"/>
        <w:rPr>
          <w:sz w:val="24"/>
          <w:szCs w:val="24"/>
          <w:lang w:val="en-GB"/>
        </w:rPr>
      </w:pPr>
      <w:r>
        <w:rPr>
          <w:sz w:val="24"/>
          <w:szCs w:val="24"/>
          <w:lang w:val="en-GB"/>
        </w:rPr>
        <w:t>Similarly, for total coliforms (n = 99), the ENUMERA® method showed a modest negative bias (-0.083 log₁₀ units; 95% CI: -0.118 to -0.048), with limits of agreement between -0.426 and 0.261 log</w:t>
      </w:r>
      <w:r>
        <w:rPr>
          <w:sz w:val="24"/>
          <w:szCs w:val="24"/>
          <w:vertAlign w:val="subscript"/>
          <w:lang w:val="en-GB"/>
        </w:rPr>
        <w:t>10</w:t>
      </w:r>
      <w:r>
        <w:rPr>
          <w:sz w:val="24"/>
          <w:szCs w:val="24"/>
          <w:lang w:val="en-GB"/>
        </w:rPr>
        <w:t xml:space="preserve"> units. The dispersion of differences was slightly wider than that observed for </w:t>
      </w:r>
      <w:r>
        <w:rPr>
          <w:i/>
          <w:iCs/>
          <w:sz w:val="24"/>
          <w:szCs w:val="24"/>
          <w:lang w:val="en-GB"/>
        </w:rPr>
        <w:t>E. coli</w:t>
      </w:r>
      <w:r>
        <w:rPr>
          <w:sz w:val="24"/>
          <w:szCs w:val="24"/>
          <w:lang w:val="en-GB"/>
        </w:rPr>
        <w:t>, reflecting greater variability.</w:t>
      </w:r>
    </w:p>
    <w:p w14:paraId="7B72DFD5" w14:textId="37D11850" w:rsidR="00423687" w:rsidRPr="007E4EDA" w:rsidRDefault="00423687" w:rsidP="0098333F">
      <w:pPr>
        <w:spacing w:after="120" w:line="360" w:lineRule="auto"/>
        <w:rPr>
          <w:sz w:val="24"/>
          <w:szCs w:val="24"/>
          <w:lang w:val="en-GB"/>
        </w:rPr>
      </w:pPr>
      <w:r>
        <w:rPr>
          <w:sz w:val="24"/>
          <w:szCs w:val="24"/>
          <w:lang w:val="en-GB"/>
        </w:rPr>
        <w:t>In both cases, the Shapiro-Wilk for normality test indicated deviations from normality (</w:t>
      </w:r>
      <w:r>
        <w:rPr>
          <w:i/>
          <w:iCs/>
          <w:sz w:val="24"/>
          <w:szCs w:val="24"/>
          <w:lang w:val="en-GB"/>
        </w:rPr>
        <w:t>p</w:t>
      </w:r>
      <w:r>
        <w:rPr>
          <w:sz w:val="24"/>
          <w:szCs w:val="24"/>
          <w:lang w:val="en-GB"/>
        </w:rPr>
        <w:t>-values ≤ 0.05), suggesting that the distribution of differences may not be strictly Gaussian. Nevertheless, visual inspection of the plots (Figure 3) did not reveal marked heteroscedasticity or proportional bias, supporting the overall comparability of the methods within the observed range.</w:t>
      </w:r>
    </w:p>
    <w:p w14:paraId="58DDF528" w14:textId="5F869C29" w:rsidR="003661B0" w:rsidRPr="007E4EDA" w:rsidRDefault="003661B0" w:rsidP="003661B0">
      <w:pPr>
        <w:pStyle w:val="Ttol2"/>
        <w:spacing w:line="360" w:lineRule="auto"/>
        <w:rPr>
          <w:sz w:val="24"/>
          <w:szCs w:val="24"/>
          <w:lang w:val="en-GB"/>
        </w:rPr>
      </w:pPr>
      <w:r>
        <w:rPr>
          <w:sz w:val="24"/>
          <w:szCs w:val="24"/>
          <w:lang w:val="en-GB"/>
        </w:rPr>
        <w:t>3.7. Linearity and heteroscedasticity assessment</w:t>
      </w:r>
    </w:p>
    <w:p w14:paraId="6B779CAF" w14:textId="6BDAA714" w:rsidR="00423687" w:rsidRPr="007E4EDA" w:rsidRDefault="00423687" w:rsidP="0098333F">
      <w:pPr>
        <w:spacing w:after="120" w:line="360" w:lineRule="auto"/>
        <w:rPr>
          <w:sz w:val="24"/>
          <w:szCs w:val="24"/>
          <w:lang w:val="en-GB"/>
        </w:rPr>
      </w:pPr>
      <w:r>
        <w:rPr>
          <w:sz w:val="24"/>
          <w:szCs w:val="24"/>
          <w:lang w:val="en-GB"/>
        </w:rPr>
        <w:t xml:space="preserve">For both </w:t>
      </w:r>
      <w:r>
        <w:rPr>
          <w:i/>
          <w:iCs/>
          <w:sz w:val="24"/>
          <w:szCs w:val="24"/>
          <w:lang w:val="en-GB"/>
        </w:rPr>
        <w:t>E. coli</w:t>
      </w:r>
      <w:r>
        <w:rPr>
          <w:sz w:val="24"/>
          <w:szCs w:val="24"/>
          <w:lang w:val="en-GB"/>
        </w:rPr>
        <w:t xml:space="preserve"> and total coliforms, the diagnostic tests support the adequacy of the linear model, with no evidence of model misspecification, non-linearity, or heteroscedasticity. The Ramsey’s regression equation specification error test (</w:t>
      </w:r>
      <w:r>
        <w:rPr>
          <w:i/>
          <w:iCs/>
          <w:sz w:val="24"/>
          <w:szCs w:val="24"/>
          <w:lang w:val="en-GB"/>
        </w:rPr>
        <w:t>p</w:t>
      </w:r>
      <w:r>
        <w:rPr>
          <w:sz w:val="24"/>
          <w:szCs w:val="24"/>
          <w:lang w:val="en-GB"/>
        </w:rPr>
        <w:t>-values &gt; 0.05) indicate that the linear functional form is appropriate. Linearity is further confirmed by the Harvey-Collier tests (</w:t>
      </w:r>
      <w:r>
        <w:rPr>
          <w:i/>
          <w:iCs/>
          <w:sz w:val="24"/>
          <w:szCs w:val="24"/>
          <w:lang w:val="en-GB"/>
        </w:rPr>
        <w:t>p</w:t>
      </w:r>
      <w:r>
        <w:rPr>
          <w:sz w:val="24"/>
          <w:szCs w:val="24"/>
          <w:lang w:val="en-GB"/>
        </w:rPr>
        <w:t>-values &gt; 0.05), while the Harrison-McCabe tests (</w:t>
      </w:r>
      <w:r>
        <w:rPr>
          <w:i/>
          <w:iCs/>
          <w:sz w:val="24"/>
          <w:szCs w:val="24"/>
          <w:lang w:val="en-GB"/>
        </w:rPr>
        <w:t>p</w:t>
      </w:r>
      <w:r>
        <w:rPr>
          <w:sz w:val="24"/>
          <w:szCs w:val="24"/>
          <w:lang w:val="en-GB"/>
        </w:rPr>
        <w:t xml:space="preserve">-value = 0.867 and </w:t>
      </w:r>
      <w:r>
        <w:rPr>
          <w:i/>
          <w:iCs/>
          <w:sz w:val="24"/>
          <w:szCs w:val="24"/>
          <w:lang w:val="en-GB"/>
        </w:rPr>
        <w:t>p</w:t>
      </w:r>
      <w:r>
        <w:rPr>
          <w:sz w:val="24"/>
          <w:szCs w:val="24"/>
          <w:lang w:val="en-GB"/>
        </w:rPr>
        <w:t xml:space="preserve">-value = 0.792, respectively) show no significant heteroscedasticity, moreover, these large </w:t>
      </w:r>
      <w:r>
        <w:rPr>
          <w:i/>
          <w:iCs/>
          <w:sz w:val="24"/>
          <w:szCs w:val="24"/>
          <w:lang w:val="en-GB"/>
        </w:rPr>
        <w:t>p</w:t>
      </w:r>
      <w:r>
        <w:rPr>
          <w:sz w:val="24"/>
          <w:szCs w:val="24"/>
          <w:lang w:val="en-GB"/>
        </w:rPr>
        <w:t>-values supports the assumption that the variance of the residuals remains constant across the fitted values.</w:t>
      </w:r>
    </w:p>
    <w:p w14:paraId="4821F8B8" w14:textId="66C2D238" w:rsidR="00423687" w:rsidRPr="007E4EDA" w:rsidRDefault="00423687" w:rsidP="0098333F">
      <w:pPr>
        <w:spacing w:after="120" w:line="360" w:lineRule="auto"/>
        <w:rPr>
          <w:sz w:val="24"/>
          <w:szCs w:val="24"/>
          <w:lang w:val="en-GB"/>
        </w:rPr>
      </w:pPr>
      <w:r>
        <w:rPr>
          <w:sz w:val="24"/>
          <w:szCs w:val="24"/>
          <w:lang w:val="en-GB"/>
        </w:rPr>
        <w:t>Overall, these results demonstrate that the assumptions underlying the linear models are satisfactorily met, supporting their suitability for both microbial indicators.</w:t>
      </w:r>
    </w:p>
    <w:p w14:paraId="0F47C92C" w14:textId="1B28765B" w:rsidR="00CF793E" w:rsidRPr="007E4EDA" w:rsidRDefault="00CF793E" w:rsidP="00CF793E">
      <w:pPr>
        <w:pStyle w:val="Ttol2"/>
        <w:spacing w:line="360" w:lineRule="auto"/>
        <w:rPr>
          <w:sz w:val="24"/>
          <w:szCs w:val="24"/>
          <w:lang w:val="en-GB"/>
        </w:rPr>
      </w:pPr>
      <w:r>
        <w:rPr>
          <w:sz w:val="24"/>
          <w:szCs w:val="24"/>
          <w:lang w:val="en-GB"/>
        </w:rPr>
        <w:t>3.8. Deming and Passing-Bablok regression analysis</w:t>
      </w:r>
    </w:p>
    <w:p w14:paraId="6E521679" w14:textId="0A678F17" w:rsidR="00152F5D" w:rsidRPr="007E4EDA" w:rsidRDefault="00152F5D" w:rsidP="6F247144">
      <w:pPr>
        <w:spacing w:after="120" w:line="360" w:lineRule="auto"/>
        <w:rPr>
          <w:sz w:val="24"/>
          <w:szCs w:val="24"/>
          <w:lang w:val="en-GB"/>
        </w:rPr>
      </w:pPr>
      <w:r>
        <w:rPr>
          <w:sz w:val="24"/>
          <w:szCs w:val="24"/>
          <w:lang w:val="en-GB"/>
        </w:rPr>
        <w:lastRenderedPageBreak/>
        <w:t>Passing-Bablok and Deming regressions are widely used in method-comparison studies</w:t>
      </w:r>
      <w:r w:rsidR="00451A8D">
        <w:rPr>
          <w:sz w:val="24"/>
          <w:szCs w:val="24"/>
          <w:lang w:val="en-GB"/>
        </w:rPr>
        <w:t xml:space="preserve"> </w:t>
      </w:r>
      <w:r w:rsidR="00451A8D">
        <w:rPr>
          <w:sz w:val="24"/>
          <w:szCs w:val="24"/>
          <w:lang w:val="en-GB"/>
        </w:rPr>
        <w:fldChar w:fldCharType="begin"/>
      </w:r>
      <w:r w:rsidR="00451A8D">
        <w:rPr>
          <w:sz w:val="24"/>
          <w:szCs w:val="24"/>
          <w:lang w:val="en-GB"/>
        </w:rPr>
        <w:instrText xml:space="preserve"> ADDIN ZOTERO_ITEM CSL_CITATION {"citationID":"e5Qr44hx","properties":{"unsorted":false,"formattedCitation":"(Linnet, 1993)","plainCitation":"(Linnet, 1993)","noteIndex":0},"citationItems":[{"id":29379,"uris":["http://zotero.org/users/19779089/items/R5STMSGL"],"itemData":{"id":29379,"type":"article-journal","citation-key":"linnetEvaluationRegressionProcedures1993","container-title":"Clinical chemistry","ISSN":"0009-9147","issue":"3","journalAbbreviation":"Clin Chem","language":"eng","page":"424-432","PMID":"8448852","publisher-place":"England","title":"Evaluation of regression procedures for methods comparison studies.","volume":"39","author":[{"family":"Linnet","given":"K."}],"issued":{"date-parts":[["1993",3]]}}}],"schema":"https://github.com/citation-style-language/schema/raw/master/csl-citation.json"} </w:instrText>
      </w:r>
      <w:r w:rsidR="00451A8D">
        <w:rPr>
          <w:sz w:val="24"/>
          <w:szCs w:val="24"/>
          <w:lang w:val="en-GB"/>
        </w:rPr>
        <w:fldChar w:fldCharType="separate"/>
      </w:r>
      <w:r w:rsidR="00451A8D" w:rsidRPr="00451A8D">
        <w:rPr>
          <w:sz w:val="24"/>
          <w:lang w:val="en-GB"/>
        </w:rPr>
        <w:t>(Linnet, 1993)</w:t>
      </w:r>
      <w:r w:rsidR="00451A8D">
        <w:rPr>
          <w:sz w:val="24"/>
          <w:szCs w:val="24"/>
          <w:lang w:val="en-GB"/>
        </w:rPr>
        <w:fldChar w:fldCharType="end"/>
      </w:r>
      <w:r>
        <w:rPr>
          <w:sz w:val="24"/>
          <w:szCs w:val="24"/>
          <w:lang w:val="en-GB"/>
        </w:rPr>
        <w:t xml:space="preserve">. Across water matrices and defined groups, both approaches yielded slopes close to unity and intercepts close to zero for </w:t>
      </w:r>
      <w:r>
        <w:rPr>
          <w:i/>
          <w:iCs/>
          <w:sz w:val="24"/>
          <w:szCs w:val="24"/>
          <w:lang w:val="en-GB"/>
        </w:rPr>
        <w:t>E. coli</w:t>
      </w:r>
      <w:r>
        <w:rPr>
          <w:sz w:val="24"/>
          <w:szCs w:val="24"/>
          <w:lang w:val="en-GB"/>
        </w:rPr>
        <w:t xml:space="preserve"> and total coliforms (Figure 4), indicating good overall agreement between the ENUMERA®-Coli100 method and the ISO 9308-2 reference method (Table 4).</w:t>
      </w:r>
    </w:p>
    <w:p w14:paraId="2F14520A" w14:textId="728AB1C6" w:rsidR="00152F5D" w:rsidRPr="007E4EDA" w:rsidRDefault="00DE7161" w:rsidP="6F247144">
      <w:pPr>
        <w:spacing w:after="120" w:line="360" w:lineRule="auto"/>
        <w:rPr>
          <w:sz w:val="24"/>
          <w:szCs w:val="24"/>
          <w:lang w:val="en-GB"/>
        </w:rPr>
      </w:pPr>
      <w:r>
        <w:rPr>
          <w:sz w:val="24"/>
          <w:szCs w:val="24"/>
          <w:lang w:val="en-GB"/>
        </w:rPr>
        <w:t xml:space="preserve">For most individual matrices, slopes and intercepts were </w:t>
      </w:r>
      <w:r>
        <w:rPr>
          <w:rFonts w:ascii="Calibri" w:eastAsia="Calibri" w:hAnsi="Calibri" w:cs="Calibri"/>
          <w:sz w:val="24"/>
          <w:szCs w:val="24"/>
          <w:lang w:val="en-GB"/>
        </w:rPr>
        <w:t xml:space="preserve">consistent with method comparability. Some exceptions were noted: negative intercepts for total coliforms in DW and for </w:t>
      </w:r>
      <w:r>
        <w:rPr>
          <w:rFonts w:ascii="Calibri" w:eastAsia="Calibri" w:hAnsi="Calibri" w:cs="Calibri"/>
          <w:i/>
          <w:iCs/>
          <w:sz w:val="24"/>
          <w:szCs w:val="24"/>
          <w:lang w:val="en-GB"/>
        </w:rPr>
        <w:t>E. coli</w:t>
      </w:r>
      <w:r>
        <w:rPr>
          <w:rFonts w:ascii="Calibri" w:eastAsia="Calibri" w:hAnsi="Calibri" w:cs="Calibri"/>
          <w:sz w:val="24"/>
          <w:szCs w:val="24"/>
          <w:lang w:val="en-GB"/>
        </w:rPr>
        <w:t xml:space="preserve"> in WW using Deming regression, and wider confidence intervals in MW, reflecting greater variability in this matrix.</w:t>
      </w:r>
      <w:r>
        <w:rPr>
          <w:sz w:val="24"/>
          <w:szCs w:val="24"/>
          <w:lang w:val="en-GB"/>
        </w:rPr>
        <w:t xml:space="preserve"> The intermediate and global datasets showed the same general pattern of agreement, with narrower confidence intervals after aggregation. However, the global dataset revealed small but statistically detectable systematic deviations, with negative intercepts and slopes slightly above 1 for both microbial groups and both regression approaches.</w:t>
      </w:r>
    </w:p>
    <w:p w14:paraId="7DADCF99" w14:textId="35F73C79" w:rsidR="00152F5D" w:rsidRPr="007E4EDA" w:rsidRDefault="00DE7161" w:rsidP="6F247144">
      <w:pPr>
        <w:spacing w:after="160" w:line="360" w:lineRule="auto"/>
        <w:rPr>
          <w:sz w:val="24"/>
          <w:szCs w:val="24"/>
          <w:lang w:val="en-GB"/>
        </w:rPr>
      </w:pPr>
      <w:r>
        <w:rPr>
          <w:sz w:val="24"/>
          <w:szCs w:val="24"/>
          <w:lang w:val="en-GB"/>
        </w:rPr>
        <w:t>These minor constant and proportional biases are unlikely to compromise overall method comparability. They may partly reflect inherent differences between the two MPN-based approaches in translating positive/negative response patterns into concentration estimates, as well as analytical variability and sample-size effects: matrices with fewer or more variable observations tend to show wider confidence intervals, while aggregation increases statistical precision and may render minor biases detectable. The possible contribution of MPN design characteristics to these differences is considered in more detail in the following section.</w:t>
      </w:r>
    </w:p>
    <w:p w14:paraId="3AE59FED" w14:textId="01E14BD9" w:rsidR="00152F5D" w:rsidRPr="007E4EDA" w:rsidRDefault="00152F5D" w:rsidP="00152F5D">
      <w:pPr>
        <w:spacing w:after="120" w:line="360" w:lineRule="auto"/>
        <w:rPr>
          <w:sz w:val="24"/>
          <w:szCs w:val="24"/>
          <w:lang w:val="en-GB"/>
        </w:rPr>
      </w:pPr>
    </w:p>
    <w:p w14:paraId="6E493F80" w14:textId="79A1A9DA" w:rsidR="005A72BD" w:rsidRPr="007E4EDA" w:rsidRDefault="005A72BD" w:rsidP="2AF82162">
      <w:pPr>
        <w:pStyle w:val="Ttol2"/>
        <w:spacing w:line="360" w:lineRule="auto"/>
        <w:rPr>
          <w:sz w:val="24"/>
          <w:szCs w:val="24"/>
          <w:lang w:val="en-GB"/>
        </w:rPr>
      </w:pPr>
      <w:r>
        <w:rPr>
          <w:sz w:val="24"/>
          <w:szCs w:val="24"/>
          <w:lang w:val="en-GB"/>
        </w:rPr>
        <w:t>3.9</w:t>
      </w:r>
      <w:r>
        <w:rPr>
          <w:sz w:val="24"/>
          <w:szCs w:val="24"/>
          <w:lang w:val="en-GB"/>
        </w:rPr>
        <w:t>. Effect of MPN Configuration on MPN Estimates</w:t>
      </w:r>
    </w:p>
    <w:p w14:paraId="5ACA90A3" w14:textId="77C3005C" w:rsidR="001D78CA" w:rsidRPr="007E4EDA" w:rsidRDefault="001D78CA" w:rsidP="3D730822">
      <w:pPr>
        <w:spacing w:after="120" w:line="360" w:lineRule="auto"/>
        <w:rPr>
          <w:sz w:val="24"/>
          <w:szCs w:val="24"/>
          <w:lang w:val="en-GB"/>
        </w:rPr>
      </w:pPr>
      <w:r>
        <w:rPr>
          <w:sz w:val="24"/>
          <w:szCs w:val="24"/>
          <w:lang w:val="en-GB"/>
        </w:rPr>
        <w:t xml:space="preserve">The reference method uses a well configuration comprising three different well types: one overflow well with a maximum volume of 2.08 mL, 48 large wells with a maximum volume of 1.88 mL, and 48 small wells with a maximum volume of 0.160 mL (McBride, 2003). However, the MPN tables are constructed by treating the overflow well as a large well. If the MPN tables are generated using the central estimates for cases in which the overflow well is treated as a 1.88 mL well rather than as a 2.08 mL well, the differences between the resulting MPN values increase to approximately 5 % of the measured value. </w:t>
      </w:r>
    </w:p>
    <w:p w14:paraId="79362488" w14:textId="648303D4" w:rsidR="00226A2E" w:rsidRPr="007E4EDA" w:rsidRDefault="002F62C2" w:rsidP="1202E01E">
      <w:pPr>
        <w:spacing w:after="120" w:line="360" w:lineRule="auto"/>
        <w:rPr>
          <w:sz w:val="24"/>
          <w:szCs w:val="24"/>
          <w:lang w:val="en-GB"/>
        </w:rPr>
      </w:pPr>
      <w:r>
        <w:rPr>
          <w:sz w:val="24"/>
          <w:szCs w:val="24"/>
          <w:lang w:val="en-GB"/>
        </w:rPr>
        <w:t xml:space="preserve">The agreement between the two MPN modelling approaches was assessed using Bland-Altman analysis (Figure 5) . When the overflow well was negative, the differences between </w:t>
      </w:r>
      <w:r>
        <w:rPr>
          <w:sz w:val="24"/>
          <w:szCs w:val="24"/>
          <w:lang w:val="en-GB"/>
        </w:rPr>
        <w:lastRenderedPageBreak/>
        <w:t>the 3-well and 2-well configurations showed a clear concentration-dependent pattern. In particular, at higher mean MPN values, the 3-well model produced lower estimates than the 2-well model, with differences reaching approximately -0.02 log10 units. This suggests that treating a negative overflow well as an independent 2.08 mL well has a greater effect on the estimated MPN than treating it as an additional 1.88 mL large well.</w:t>
      </w:r>
    </w:p>
    <w:p w14:paraId="68E38F5D" w14:textId="7561A8B9" w:rsidR="001D78CA" w:rsidRPr="007E4EDA" w:rsidRDefault="00226A2E" w:rsidP="002F62C2">
      <w:pPr>
        <w:spacing w:after="120" w:line="360" w:lineRule="auto"/>
        <w:rPr>
          <w:b/>
          <w:bCs/>
          <w:sz w:val="24"/>
          <w:szCs w:val="24"/>
          <w:lang w:val="en-GB"/>
        </w:rPr>
      </w:pPr>
      <w:r>
        <w:rPr>
          <w:sz w:val="24"/>
          <w:szCs w:val="24"/>
          <w:lang w:val="en-GB"/>
        </w:rPr>
        <w:t>By contrast, when the overflow well was positive, the differences between the two modelling approaches were extremely small, remaining close to zero across the analytical range. Although a structured pattern was visible, the magnitude of the differences has a negligible practical impact.</w:t>
      </w:r>
    </w:p>
    <w:p w14:paraId="40526302" w14:textId="398D9329" w:rsidR="00CC0E9F" w:rsidRPr="007E4EDA" w:rsidRDefault="00CC0E9F" w:rsidP="002F62C2">
      <w:pPr>
        <w:spacing w:after="120" w:line="360" w:lineRule="auto"/>
        <w:rPr>
          <w:sz w:val="24"/>
          <w:szCs w:val="24"/>
          <w:lang w:val="en-GB"/>
        </w:rPr>
      </w:pPr>
      <w:r>
        <w:rPr>
          <w:sz w:val="24"/>
          <w:szCs w:val="24"/>
          <w:lang w:val="en-GB"/>
        </w:rPr>
        <w:t>This asymmetry is consistent with the greater inferential weight of a negative result in a larger-volume well, which provides stronger evidence against high microbial concentrations than a negative result in a smaller-volume well. Overall, these results indicate that the effect of the overflow well structure is mainly driven by negative overflow outcomes, particularly at higher MPN levels.</w:t>
      </w:r>
    </w:p>
    <w:p w14:paraId="6AB6EFF7" w14:textId="6EA517CF" w:rsidR="0052530C" w:rsidRPr="007E4EDA" w:rsidRDefault="0052530C" w:rsidP="0052530C">
      <w:pPr>
        <w:pStyle w:val="Ttol2"/>
        <w:spacing w:line="360" w:lineRule="auto"/>
        <w:rPr>
          <w:sz w:val="24"/>
          <w:szCs w:val="24"/>
          <w:lang w:val="en-US"/>
        </w:rPr>
      </w:pPr>
      <w:r>
        <w:rPr>
          <w:sz w:val="24"/>
          <w:szCs w:val="24"/>
          <w:lang w:val="en-US"/>
        </w:rPr>
        <w:t>3.10</w:t>
      </w:r>
      <w:r>
        <w:rPr>
          <w:sz w:val="24"/>
          <w:szCs w:val="24"/>
          <w:lang w:val="en-US"/>
        </w:rPr>
        <w:t>. Limits of detection and quantification</w:t>
      </w:r>
    </w:p>
    <w:p w14:paraId="0720D00B" w14:textId="187EFA47" w:rsidR="0052530C" w:rsidRPr="007E4EDA" w:rsidRDefault="0052530C" w:rsidP="0052530C">
      <w:pPr>
        <w:spacing w:after="120" w:line="360" w:lineRule="auto"/>
        <w:rPr>
          <w:sz w:val="24"/>
          <w:szCs w:val="24"/>
          <w:lang w:val="en-GB"/>
        </w:rPr>
      </w:pPr>
      <w:r>
        <w:rPr>
          <w:sz w:val="24"/>
          <w:szCs w:val="24"/>
          <w:lang w:val="en-GB"/>
        </w:rPr>
        <w:t xml:space="preserve">The limits of detection (LOD) and quantification (LOQ) of the ENUMERA®-Coli100 method were determined for both </w:t>
      </w:r>
      <w:r>
        <w:rPr>
          <w:i/>
          <w:iCs/>
          <w:sz w:val="24"/>
          <w:szCs w:val="24"/>
          <w:lang w:val="en-GB"/>
        </w:rPr>
        <w:t>E. coli</w:t>
      </w:r>
      <w:r>
        <w:rPr>
          <w:sz w:val="24"/>
          <w:szCs w:val="24"/>
          <w:lang w:val="en-GB"/>
        </w:rPr>
        <w:t xml:space="preserve"> and total coliforms in each water matrix (Table 5). For </w:t>
      </w:r>
      <w:r>
        <w:rPr>
          <w:i/>
          <w:iCs/>
          <w:sz w:val="24"/>
          <w:szCs w:val="24"/>
          <w:lang w:val="en-GB"/>
        </w:rPr>
        <w:t>E. coli</w:t>
      </w:r>
      <w:r>
        <w:rPr>
          <w:sz w:val="24"/>
          <w:szCs w:val="24"/>
          <w:lang w:val="en-GB"/>
        </w:rPr>
        <w:t xml:space="preserve">, LOD values ranged from 1.4 MPN/100 mL in surface water to 2.1 MPN/100 mL in seawater, whereas LOQ values ranged from 3.1 to 9.2 MPN/100 mL. For total coliforms, LOD values ranged from 1.2 to 1.9 MPN/100 mL and LOQ values from 3.0 to 7.0 MPN/100 mL. These limits were comparable to those obtained with the ISO 9308-2 reference method and confirmed the suitability of the ENUMERA®-Coli100 method for the detection and quantification of low concentrations of </w:t>
      </w:r>
      <w:r>
        <w:rPr>
          <w:i/>
          <w:iCs/>
          <w:sz w:val="24"/>
          <w:szCs w:val="24"/>
          <w:lang w:val="en-GB"/>
        </w:rPr>
        <w:t>E. coli</w:t>
      </w:r>
      <w:r>
        <w:rPr>
          <w:sz w:val="24"/>
          <w:szCs w:val="24"/>
          <w:lang w:val="en-GB"/>
        </w:rPr>
        <w:t xml:space="preserve"> and total coliforms in the matrices studied. The slightly higher LOQ observed in seawater is consistent with the 1:10 dilution step applied prior to analysis.</w:t>
      </w:r>
    </w:p>
    <w:p w14:paraId="134EB397" w14:textId="202D9C32" w:rsidR="0052530C" w:rsidRPr="007E4EDA" w:rsidRDefault="0052530C" w:rsidP="0052530C">
      <w:pPr>
        <w:pStyle w:val="Ttol2"/>
        <w:spacing w:line="360" w:lineRule="auto"/>
        <w:rPr>
          <w:sz w:val="24"/>
          <w:szCs w:val="24"/>
          <w:lang w:val="en-GB"/>
        </w:rPr>
      </w:pPr>
      <w:r>
        <w:rPr>
          <w:sz w:val="24"/>
          <w:szCs w:val="24"/>
          <w:lang w:val="en-GB"/>
        </w:rPr>
        <w:t>3.11</w:t>
      </w:r>
      <w:r>
        <w:rPr>
          <w:sz w:val="24"/>
          <w:szCs w:val="24"/>
          <w:lang w:val="en-GB"/>
        </w:rPr>
        <w:t>. Comparative Performance of Aquacoli and Colilert-18 Across Different Tray-Based MPN Formats</w:t>
      </w:r>
    </w:p>
    <w:p w14:paraId="4D4C539D" w14:textId="4BB6B493" w:rsidR="0052530C" w:rsidRPr="007E4EDA" w:rsidRDefault="0052530C" w:rsidP="0052530C">
      <w:pPr>
        <w:spacing w:after="80" w:line="360" w:lineRule="auto"/>
        <w:rPr>
          <w:sz w:val="24"/>
          <w:szCs w:val="24"/>
          <w:lang w:val="en-GB"/>
        </w:rPr>
      </w:pPr>
      <w:r>
        <w:rPr>
          <w:sz w:val="24"/>
          <w:szCs w:val="24"/>
          <w:lang w:val="en-GB"/>
        </w:rPr>
        <w:t xml:space="preserve">The comparative evaluation of the different media and tray combinations showed that </w:t>
      </w:r>
      <w:r>
        <w:rPr>
          <w:i/>
          <w:iCs/>
          <w:sz w:val="24"/>
          <w:szCs w:val="24"/>
          <w:lang w:val="en-GB"/>
        </w:rPr>
        <w:t>Escherichia coli</w:t>
      </w:r>
      <w:r>
        <w:rPr>
          <w:sz w:val="24"/>
          <w:szCs w:val="24"/>
          <w:lang w:val="en-GB"/>
        </w:rPr>
        <w:t xml:space="preserve"> enumeration was highly comparable between both culture media regardless of the MPN tray format employed. However, slightly higher </w:t>
      </w:r>
      <w:r>
        <w:rPr>
          <w:i/>
          <w:iCs/>
          <w:sz w:val="24"/>
          <w:szCs w:val="24"/>
          <w:lang w:val="en-GB"/>
        </w:rPr>
        <w:t xml:space="preserve">E. coli </w:t>
      </w:r>
      <w:r>
        <w:rPr>
          <w:sz w:val="24"/>
          <w:szCs w:val="24"/>
          <w:lang w:val="en-GB"/>
        </w:rPr>
        <w:t xml:space="preserve">counts were consistently </w:t>
      </w:r>
      <w:r>
        <w:rPr>
          <w:sz w:val="24"/>
          <w:szCs w:val="24"/>
          <w:lang w:val="en-GB"/>
        </w:rPr>
        <w:lastRenderedPageBreak/>
        <w:t>observed when analyses were performed using the ENUMERA® tray compared with the Quanti-Tray® system, independently of the culture medium used.</w:t>
      </w:r>
    </w:p>
    <w:p w14:paraId="04308AE0" w14:textId="0F38803A" w:rsidR="0052530C" w:rsidRPr="007E4EDA" w:rsidRDefault="0052530C" w:rsidP="0052530C">
      <w:pPr>
        <w:spacing w:after="80" w:line="360" w:lineRule="auto"/>
        <w:rPr>
          <w:sz w:val="24"/>
          <w:szCs w:val="24"/>
          <w:lang w:val="en-GB"/>
        </w:rPr>
      </w:pPr>
      <w:r>
        <w:rPr>
          <w:sz w:val="24"/>
          <w:szCs w:val="24"/>
          <w:lang w:val="en-GB"/>
        </w:rPr>
        <w:t xml:space="preserve">This trend may be associated with differences in the physical properties of the sealing membranes used in both tray systems. The membrane material of the ENUMERA® tray appears to present greater air permeability, potentially facilitating improved bacterial recovery and growth, particularly for environmentally stressed </w:t>
      </w:r>
      <w:r>
        <w:rPr>
          <w:i/>
          <w:iCs/>
          <w:sz w:val="24"/>
          <w:szCs w:val="24"/>
          <w:lang w:val="en-GB"/>
        </w:rPr>
        <w:t>E. coli</w:t>
      </w:r>
      <w:r>
        <w:rPr>
          <w:sz w:val="24"/>
          <w:szCs w:val="24"/>
          <w:lang w:val="en-GB"/>
        </w:rPr>
        <w:t xml:space="preserve"> cells present in water samples. This hypothesis is further supported by the observation that the Colilert-18 medium also yielded slightly higher enumerations when used in the ENUMERA® tray than in the Quanti-Tray® format.</w:t>
      </w:r>
    </w:p>
    <w:p w14:paraId="1356074D" w14:textId="1F80D7D4" w:rsidR="00DC1895" w:rsidRPr="007E4EDA" w:rsidRDefault="0052530C" w:rsidP="0052530C">
      <w:pPr>
        <w:spacing w:after="80" w:line="360" w:lineRule="auto"/>
        <w:rPr>
          <w:sz w:val="24"/>
          <w:szCs w:val="24"/>
          <w:lang w:val="en-GB"/>
        </w:rPr>
      </w:pPr>
      <w:r>
        <w:rPr>
          <w:sz w:val="24"/>
          <w:szCs w:val="24"/>
          <w:lang w:val="en-GB"/>
        </w:rPr>
        <w:t xml:space="preserve">The comparative performance of the Aquacoli chromogenic medium in different tray-based MPN configurations showed that the enumeration of </w:t>
      </w:r>
      <w:r>
        <w:rPr>
          <w:i/>
          <w:iCs/>
          <w:sz w:val="24"/>
          <w:szCs w:val="24"/>
          <w:lang w:val="en-GB"/>
        </w:rPr>
        <w:t>E. coli</w:t>
      </w:r>
      <w:r>
        <w:rPr>
          <w:sz w:val="24"/>
          <w:szCs w:val="24"/>
          <w:lang w:val="en-GB"/>
        </w:rPr>
        <w:t xml:space="preserve"> (green wells) and total coliforms (green plus yellow wells) obtained using the Aquacoli medium in Quanti-Tray® was comparable to that achieved using the proprietary ENUMERA® tray, indicating that the analytical performance of the medium is not restricted to a single tray geometry (Figure 6). In addition, the chromogenic formulation of the Aquacoli medium enabled direct visual interpretation of results under ambient light conditions, avoiding the need for UV lamp detection required in fluorogenic approaches.</w:t>
      </w:r>
    </w:p>
    <w:p w14:paraId="639FAFE0" w14:textId="77777777" w:rsidR="002B2734" w:rsidRPr="007E4EDA" w:rsidRDefault="002B2734" w:rsidP="00BE51B5">
      <w:pPr>
        <w:spacing w:after="80" w:line="360" w:lineRule="auto"/>
        <w:rPr>
          <w:sz w:val="24"/>
          <w:szCs w:val="24"/>
          <w:lang w:val="en-GB"/>
        </w:rPr>
      </w:pPr>
    </w:p>
    <w:p w14:paraId="53E24B85" w14:textId="57612821" w:rsidR="007630FE" w:rsidRPr="007E4EDA" w:rsidRDefault="00C57A2D" w:rsidP="00E7232A">
      <w:pPr>
        <w:pStyle w:val="Ttol1"/>
        <w:spacing w:before="240" w:after="120" w:line="360" w:lineRule="auto"/>
        <w:rPr>
          <w:lang w:val="en-GB"/>
        </w:rPr>
      </w:pPr>
      <w:r>
        <w:rPr>
          <w:lang w:val="en-GB"/>
        </w:rPr>
        <w:t>4. Discussion</w:t>
      </w:r>
    </w:p>
    <w:p w14:paraId="5AD2222D" w14:textId="014DEAE1" w:rsidR="00CD0EF0" w:rsidRPr="007E4EDA" w:rsidRDefault="00CD0EF0" w:rsidP="00CD0EF0">
      <w:pPr>
        <w:spacing w:after="120" w:line="360" w:lineRule="auto"/>
        <w:rPr>
          <w:sz w:val="24"/>
          <w:szCs w:val="24"/>
          <w:lang w:val="en-GB"/>
        </w:rPr>
      </w:pPr>
      <w:r>
        <w:rPr>
          <w:sz w:val="24"/>
          <w:szCs w:val="24"/>
          <w:lang w:val="en-GB"/>
        </w:rPr>
        <w:t xml:space="preserve">This study provides an internal validation and method-comparison assessment of the ENUMERA®-Coli100 method as an alternative MPN method for the simultaneous enumeration of </w:t>
      </w:r>
      <w:r>
        <w:rPr>
          <w:i/>
          <w:iCs/>
          <w:sz w:val="24"/>
          <w:szCs w:val="24"/>
          <w:lang w:val="en-GB"/>
        </w:rPr>
        <w:t>Escherichia coli</w:t>
      </w:r>
      <w:r>
        <w:rPr>
          <w:sz w:val="24"/>
          <w:szCs w:val="24"/>
          <w:lang w:val="en-GB"/>
        </w:rPr>
        <w:t xml:space="preserve"> and total coliforms in 100 mL water samples.</w:t>
      </w:r>
    </w:p>
    <w:p w14:paraId="4A76042B" w14:textId="26F06C28" w:rsidR="00CD0EF0" w:rsidRPr="007E4EDA" w:rsidRDefault="00CD0EF0" w:rsidP="00CD0EF0">
      <w:pPr>
        <w:spacing w:after="120" w:line="360" w:lineRule="auto"/>
        <w:rPr>
          <w:sz w:val="24"/>
          <w:szCs w:val="24"/>
          <w:lang w:val="en-GB"/>
        </w:rPr>
      </w:pPr>
      <w:r>
        <w:rPr>
          <w:sz w:val="24"/>
          <w:szCs w:val="24"/>
          <w:lang w:val="en-GB"/>
        </w:rPr>
        <w:t>The relevance of the method lies not only in its analytical equivalence to ISO 9308-2, but also in the way in which that equivalence is achieved. The reference standard is based on an MPN approach in liquid medium, coupled to differential substrate reactions and interpretation through MPN tables. In the present study, the ENUMERA®-Coli100 method followed the same analytical principle while using a distinct tray configuration and a different substrate format, thereby showing that ISO 9308-2-compatible enumeration can be implemented through alternative, independently validated designs.</w:t>
      </w:r>
    </w:p>
    <w:p w14:paraId="2C8ACE13" w14:textId="0BEFAF38" w:rsidR="00CD0EF0" w:rsidRPr="007E4EDA" w:rsidRDefault="00066B9E" w:rsidP="00CD0EF0">
      <w:pPr>
        <w:spacing w:after="120" w:line="360" w:lineRule="auto"/>
        <w:rPr>
          <w:sz w:val="24"/>
          <w:szCs w:val="24"/>
          <w:lang w:val="en-GB"/>
        </w:rPr>
      </w:pPr>
      <w:r>
        <w:rPr>
          <w:sz w:val="24"/>
          <w:szCs w:val="24"/>
          <w:lang w:val="en-GB"/>
        </w:rPr>
        <w:t xml:space="preserve">It is important to note that the performance of Aquacoli medium is not confined to the ENUMERA®-Coli100 tray but is applicable to other contexts as well. As demonstrated by the productivity ratio analysis, the overall comparability of the alternative and reference </w:t>
      </w:r>
      <w:r>
        <w:rPr>
          <w:sz w:val="24"/>
          <w:szCs w:val="24"/>
          <w:lang w:val="en-GB"/>
        </w:rPr>
        <w:lastRenderedPageBreak/>
        <w:t>methods was further substantiated. Of particular significance was the paired tray-medium experiment, which evaluated the four possible combinations of reference and ENUMERA®-Coli100 media and trays. The experiment demonstrated that, following Holm's correction for multiple comparisons, no statistically significant differences were observed. This finding suggests that neither the chromogenic medium nor the ENUMERA® tray exhibited a systematic impact on productivity under the experimental conditions assessed. This suggests that the performance of the chromogenic medium is largely independent of the specific tray format used for partitioning, provided that the MPN principle is preserved. In practical terms, this broadens the applicability of the medium and may facilitate its integration into different tray-based workflows used in routine water analysis.</w:t>
      </w:r>
    </w:p>
    <w:p w14:paraId="64106A52" w14:textId="526F3E74" w:rsidR="00CD0EF0" w:rsidRPr="007E4EDA" w:rsidRDefault="00CD0EF0" w:rsidP="4F241978">
      <w:pPr>
        <w:spacing w:after="120" w:line="360" w:lineRule="auto"/>
        <w:rPr>
          <w:sz w:val="24"/>
          <w:szCs w:val="24"/>
          <w:lang w:val="en-GB"/>
        </w:rPr>
      </w:pPr>
      <w:r>
        <w:rPr>
          <w:sz w:val="24"/>
          <w:szCs w:val="24"/>
          <w:lang w:val="en-GB"/>
        </w:rPr>
        <w:t xml:space="preserve">A particularly relevant aspect of the new method is the replacement of fluorogenic detection of </w:t>
      </w:r>
      <w:r>
        <w:rPr>
          <w:i/>
          <w:iCs/>
          <w:sz w:val="24"/>
          <w:szCs w:val="24"/>
          <w:lang w:val="en-GB"/>
        </w:rPr>
        <w:t>E. coli</w:t>
      </w:r>
      <w:r>
        <w:rPr>
          <w:sz w:val="24"/>
          <w:szCs w:val="24"/>
          <w:lang w:val="en-GB"/>
        </w:rPr>
        <w:t xml:space="preserve"> with a visible chromogenic reaction. Detection of </w:t>
      </w:r>
      <w:r>
        <w:rPr>
          <w:i/>
          <w:iCs/>
          <w:sz w:val="24"/>
          <w:szCs w:val="24"/>
          <w:lang w:val="en-GB"/>
        </w:rPr>
        <w:t>E. coli</w:t>
      </w:r>
      <w:r>
        <w:rPr>
          <w:sz w:val="24"/>
          <w:szCs w:val="24"/>
          <w:lang w:val="en-GB"/>
        </w:rPr>
        <w:t xml:space="preserve"> through β-D-glucuronidase activity is well established, and both fluorogenic and chromogenic glucuronide substrates have been widely used for this purpose </w:t>
      </w:r>
      <w:r>
        <w:rPr>
          <w:sz w:val="24"/>
          <w:szCs w:val="24"/>
          <w:lang w:val="en-GB"/>
        </w:rPr>
        <w:fldChar w:fldCharType="begin"/>
      </w:r>
      <w:r>
        <w:rPr>
          <w:sz w:val="24"/>
          <w:szCs w:val="24"/>
          <w:lang w:val="en-GB"/>
        </w:rPr>
        <w:instrText xml:space="preserve"> ADDIN ZOTERO_ITEM CSL_CITATION {"citationID":"JsqrgXJE","properties":{"unsorted":false,"formattedCitation":"(Feng and Hartman, 1982; Manafi, 2000)","plainCitation":"(Feng and Hartman, 1982; Manafi, 2000)","noteIndex":0},"citationItems":[{"id":29336,"uris":["http://zotero.org/users/19779089/items/DZEBDLIK"],"itemData":{"id":29336,"type":"article-journal","citation-key":"feng1982","container-title":"Applied and Environmental Microbiology","note":"citation-key: feng1982","page":"1320–1329","title":"Fluorogenic assays for immediate confirmation of &lt;span class=\"nocase\"&gt;Escherichia coli&lt;/span&gt;","volume":"43","author":[{"family":"Feng","given":"P. C. S."},{"family":"Hartman","given":"P. A."}],"issued":{"date-parts":[["1982"]]}}},{"id":2256,"uris":["http://zotero.org/users/19779089/items/FTMIWV5B"],"itemData":{"id":2256,"type":"article-journal","abstract":"This review describes some recent developments in chromogenic and fluorogenic culture media in microbiological diagnostic. The detection of beta-D-glucuronidase (GUD) activity for enumeration of Escherichia coli is well known. E. coli O157:H7 strains are usually GUD-negative and do not ferment sorbitol. These characteristics are used in selective media for these organisms and new chromogenic media are available. Some of the new chromogenic media make the Salmonella diagnostic easier and faster. The use of chromogenic and fluorogenic substrates for detection of beta-D-glucosidase (beta-GLU) activity to differentiate enterococci has received considerable attention and new media are described. Rapid detection of Clostridium perfringens, Listeria monocytogenes, Bacillus cereus and Staphylococcus aureus are other application of enzyme detection methods in food and water microbiology","citation-key":"manafiNewDevelopmentsChromogenic2000","container-title":"INTERNATIONAL JOURNAL OF FOOD MICROBIOLOGY","DOI":"10.1016/S0168-1605(00)00312-3","issue":"2-3","note":"citation-key: manafiNewDevelopmentsChromogenic2000","page":"205-218","publisher-place":"Hygiene Institute, University of Vienna, Kinderspitalgasse 15, A-1095, Vienna, Austria","title":"New developments in chromogenic and fluorogenic culture media","volume":"60","author":[{"family":"Manafi","given":"M"}],"issued":{"date-parts":[["2000",9,25]]}}}],"schema":"https://github.com/citation-style-language/schema/raw/master/csl-citation.json"} </w:instrText>
      </w:r>
      <w:r>
        <w:rPr>
          <w:sz w:val="24"/>
          <w:szCs w:val="24"/>
          <w:lang w:val="en-GB"/>
        </w:rPr>
        <w:fldChar w:fldCharType="separate"/>
      </w:r>
      <w:r>
        <w:rPr>
          <w:sz w:val="24"/>
          <w:szCs w:val="24"/>
          <w:lang w:val="en-GB"/>
        </w:rPr>
        <w:t>(Feng and Hartman, 1982; Manafi, 2000)</w:t>
      </w:r>
      <w:r>
        <w:rPr>
          <w:sz w:val="24"/>
          <w:szCs w:val="24"/>
          <w:lang w:val="en-GB"/>
        </w:rPr>
        <w:fldChar w:fldCharType="end"/>
      </w:r>
      <w:r>
        <w:rPr>
          <w:sz w:val="24"/>
          <w:szCs w:val="24"/>
          <w:lang w:val="en-GB"/>
        </w:rPr>
        <w:t xml:space="preserve">. In classical MUG-based systems, hydrolysis generates a fluorescent product that requires UV illumination for reading, whereas chromogenic glucuronide substrates yield a directly visible coloured reaction product </w:t>
      </w:r>
      <w:r>
        <w:rPr>
          <w:sz w:val="24"/>
          <w:szCs w:val="24"/>
          <w:lang w:val="en-GB"/>
        </w:rPr>
        <w:fldChar w:fldCharType="begin"/>
      </w:r>
      <w:r>
        <w:rPr>
          <w:sz w:val="24"/>
          <w:szCs w:val="24"/>
          <w:lang w:val="en-GB"/>
        </w:rPr>
        <w:instrText xml:space="preserve"> ADDIN ZOTERO_ITEM CSL_CITATION {"citationID":"PeVJZauf","properties":{"unsorted":false,"formattedCitation":"(Feng and Hartman, 1982; Manafi, 2000)","plainCitation":"(Feng and Hartman, 1982; Manafi, 2000)","noteIndex":0},"citationItems":[{"id":29336,"uris":["http://zotero.org/users/19779089/items/DZEBDLIK"],"itemData":{"id":29336,"type":"article-journal","citation-key":"feng1982","container-title":"Applied and Environmental Microbiology","note":"citation-key: feng1982","page":"1320–1329","title":"Fluorogenic assays for immediate confirmation of &lt;span class=\"nocase\"&gt;Escherichia coli&lt;/span&gt;","volume":"43","author":[{"family":"Feng","given":"P. C. S."},{"family":"Hartman","given":"P. A."}],"issued":{"date-parts":[["1982"]]}}},{"id":2256,"uris":["http://zotero.org/users/19779089/items/FTMIWV5B"],"itemData":{"id":2256,"type":"article-journal","abstract":"This review describes some recent developments in chromogenic and fluorogenic culture media in microbiological diagnostic. The detection of beta-D-glucuronidase (GUD) activity for enumeration of Escherichia coli is well known. E. coli O157:H7 strains are usually GUD-negative and do not ferment sorbitol. These characteristics are used in selective media for these organisms and new chromogenic media are available. Some of the new chromogenic media make the Salmonella diagnostic easier and faster. The use of chromogenic and fluorogenic substrates for detection of beta-D-glucosidase (beta-GLU) activity to differentiate enterococci has received considerable attention and new media are described. Rapid detection of Clostridium perfringens, Listeria monocytogenes, Bacillus cereus and Staphylococcus aureus are other application of enzyme detection methods in food and water microbiology","citation-key":"manafiNewDevelopmentsChromogenic2000","container-title":"INTERNATIONAL JOURNAL OF FOOD MICROBIOLOGY","DOI":"10.1016/S0168-1605(00)00312-3","issue":"2-3","note":"citation-key: manafiNewDevelopmentsChromogenic2000","page":"205-218","publisher-place":"Hygiene Institute, University of Vienna, Kinderspitalgasse 15, A-1095, Vienna, Austria","title":"New developments in chromogenic and fluorogenic culture media","volume":"60","author":[{"family":"Manafi","given":"M"}],"issued":{"date-parts":[["2000",9,25]]}}}],"schema":"https://github.com/citation-style-language/schema/raw/master/csl-citation.json"} </w:instrText>
      </w:r>
      <w:r>
        <w:rPr>
          <w:sz w:val="24"/>
          <w:szCs w:val="24"/>
          <w:lang w:val="en-GB"/>
        </w:rPr>
        <w:fldChar w:fldCharType="separate"/>
      </w:r>
      <w:r>
        <w:rPr>
          <w:sz w:val="24"/>
          <w:szCs w:val="24"/>
          <w:lang w:val="en-GB"/>
        </w:rPr>
        <w:t>(Feng and Hartman, 1982; Manafi, 2000)</w:t>
      </w:r>
      <w:r>
        <w:rPr>
          <w:sz w:val="24"/>
          <w:szCs w:val="24"/>
          <w:lang w:val="en-GB"/>
        </w:rPr>
        <w:fldChar w:fldCharType="end"/>
      </w:r>
      <w:r>
        <w:rPr>
          <w:sz w:val="24"/>
          <w:szCs w:val="24"/>
          <w:lang w:val="en-GB"/>
        </w:rPr>
        <w:t>. In practical terms, this allows interpretation under ambient light and simplifies the analytical workflow without changing the biochemical target of detection. The medium was formulated within the compositional framework described in ISO 9308-2, while replacing fluorogenic β-D-glucuronidase detection with a chromogenic substrate system.</w:t>
      </w:r>
    </w:p>
    <w:p w14:paraId="64CBA733" w14:textId="38088843" w:rsidR="00CD0EF0" w:rsidRPr="007E4EDA" w:rsidRDefault="00CD0EF0" w:rsidP="00CD0EF0">
      <w:pPr>
        <w:spacing w:after="120" w:line="360" w:lineRule="auto"/>
        <w:rPr>
          <w:sz w:val="24"/>
          <w:szCs w:val="24"/>
          <w:lang w:val="en-GB"/>
        </w:rPr>
      </w:pPr>
      <w:r>
        <w:rPr>
          <w:sz w:val="24"/>
          <w:szCs w:val="24"/>
          <w:lang w:val="en-GB"/>
        </w:rPr>
        <w:t xml:space="preserve">The selectivity and specificity results were fully consistent with that biochemical basis. All environmental and clinical </w:t>
      </w:r>
      <w:r>
        <w:rPr>
          <w:i/>
          <w:iCs/>
          <w:sz w:val="24"/>
          <w:szCs w:val="24"/>
          <w:lang w:val="en-GB"/>
        </w:rPr>
        <w:t>E. coli</w:t>
      </w:r>
      <w:r>
        <w:rPr>
          <w:sz w:val="24"/>
          <w:szCs w:val="24"/>
          <w:lang w:val="en-GB"/>
        </w:rPr>
        <w:t xml:space="preserve"> strains included in the study were correctly detected by both methods, with the expected exception of </w:t>
      </w:r>
      <w:r>
        <w:rPr>
          <w:i/>
          <w:iCs/>
          <w:sz w:val="24"/>
          <w:szCs w:val="24"/>
          <w:lang w:val="en-GB"/>
        </w:rPr>
        <w:t>E. coli</w:t>
      </w:r>
      <w:r>
        <w:rPr>
          <w:sz w:val="24"/>
          <w:szCs w:val="24"/>
          <w:lang w:val="en-GB"/>
        </w:rPr>
        <w:t xml:space="preserve"> DH5α, a laboratory strain lacking β-galactosidase activity and therefore negative for total coliform detection. Importantly, the same behaviour was observed with ISO 9308-2, indicating that this finding reflects the strain phenotype rather than a limitation of the alternative method. Likewise, the positive results obtained for </w:t>
      </w:r>
      <w:r>
        <w:rPr>
          <w:i/>
          <w:iCs/>
          <w:sz w:val="24"/>
          <w:szCs w:val="24"/>
          <w:lang w:val="en-GB"/>
        </w:rPr>
        <w:t>Shigella</w:t>
      </w:r>
      <w:r>
        <w:rPr>
          <w:sz w:val="24"/>
          <w:szCs w:val="24"/>
          <w:lang w:val="en-GB"/>
        </w:rPr>
        <w:t xml:space="preserve"> spp. are biologically coherent, since </w:t>
      </w:r>
      <w:r>
        <w:rPr>
          <w:i/>
          <w:iCs/>
          <w:sz w:val="24"/>
          <w:szCs w:val="24"/>
          <w:lang w:val="en-GB"/>
        </w:rPr>
        <w:t>Shigella</w:t>
      </w:r>
      <w:r>
        <w:rPr>
          <w:sz w:val="24"/>
          <w:szCs w:val="24"/>
          <w:lang w:val="en-GB"/>
        </w:rPr>
        <w:t xml:space="preserve"> is phylogenetically embedded within </w:t>
      </w:r>
      <w:r>
        <w:rPr>
          <w:i/>
          <w:iCs/>
          <w:sz w:val="24"/>
          <w:szCs w:val="24"/>
          <w:lang w:val="en-GB"/>
        </w:rPr>
        <w:t>E. coli</w:t>
      </w:r>
      <w:r>
        <w:rPr>
          <w:sz w:val="24"/>
          <w:szCs w:val="24"/>
          <w:lang w:val="en-GB"/>
        </w:rPr>
        <w:t xml:space="preserve"> and may therefore share the same enzymatic detection profile </w:t>
      </w:r>
      <w:r>
        <w:rPr>
          <w:sz w:val="24"/>
          <w:szCs w:val="24"/>
          <w:lang w:val="en-GB"/>
        </w:rPr>
        <w:fldChar w:fldCharType="begin"/>
      </w:r>
      <w:r>
        <w:rPr>
          <w:sz w:val="24"/>
          <w:szCs w:val="24"/>
          <w:lang w:val="en-GB"/>
        </w:rPr>
        <w:instrText xml:space="preserve"> ADDIN ZOTERO_ITEM CSL_CITATION {"citationID":"VdkJHQjP","properties":{"unsorted":false,"formattedCitation":"(Lan and Reeves, 2002; R and Pr, n.d.)","plainCitation":"(Lan and Reeves, 2002; R and Pr, n.d.)","dontUpdate":true,"noteIndex":0},"citationItems":[{"id":29364,"uris":["http://zotero.org/users/19779089/items/86J8Q5AS"],"itemData":{"id":29364,"type":"article-journal","abstract":"Shigella, which still stands as a genus with four species today, in reality belongs to the extremely diverse species Escherichia coli. There are several lineages of Shigella strains derived through independent acquisition of the pINV virulence plasmid. The chromosomally determined phenotypic properties of Shigella result from convergent evolution during niche adaptation, most due to loss of function, some from negative selection pressure.","citation-key":"lanEscherichiaColiDisguise2002","container-title":"Microbes and Infection","DOI":"10.1016/S1286-4579(02)01637-4","ISSN":"1286-4579","issue":"11","journalAbbreviation":"Microbes and Infection","page":"1125-1132","source":"ScienceDirect","title":"&lt;i&gt;Escherichia coli&lt;/i&gt; in disguise: molecular origins of Shigella","title-short":"&lt;i&gt;Escherichia coli&lt;/i&gt; in disguise","URL":"https://www.sciencedirect.com/science/article/pii/S1286457902016374","volume":"4","author":[{"family":"Lan","given":"Ruiting"},{"family":"Reeves","given":"Peter R."}],"accessed":{"date-parts":[["2026",5,31]]},"issued":{"date-parts":[["2002",9,1]]}}},{"id":29362,"uris":["http://zotero.org/users/19779089/items/FUHWCTHG"],"itemData":{"id":29362,"type":"article-journal","abstract":"Shigella, which still stands as a genus with four species today, in reality belongs to the extremely diverse species Escherichia coli. There are several lineages of Shigella strains derived through independent acquisition of the pINV virulence plasmid. The chromosomally determined phenotypic propert …","citation-key":"rEscherichiaColiDisguise","container-title":"PubMed","language":"en","source":"pubmed.ncbi.nlm.nih.gov","title":"Escherichia coli in disguise: molecular origins of Shigella","title-short":"Escherichia coli in disguise","URL":"https://pubmed.ncbi.nlm.nih.gov/12361912/","author":[{"family":"R","given":"Lan"},{"family":"Pr","given":"Reeves"}],"accessed":{"date-parts":[["2026",5,31]]}}}],"schema":"https://github.com/citation-style-language/schema/raw/master/csl-citation.json"} </w:instrText>
      </w:r>
      <w:r>
        <w:rPr>
          <w:sz w:val="24"/>
          <w:szCs w:val="24"/>
          <w:lang w:val="en-GB"/>
        </w:rPr>
        <w:fldChar w:fldCharType="separate"/>
      </w:r>
      <w:r>
        <w:rPr>
          <w:sz w:val="24"/>
          <w:lang w:val="en-GB"/>
        </w:rPr>
        <w:t>(Lan and Reeves, 2002)</w:t>
      </w:r>
      <w:r>
        <w:rPr>
          <w:sz w:val="24"/>
          <w:szCs w:val="24"/>
          <w:lang w:val="en-GB"/>
        </w:rPr>
        <w:fldChar w:fldCharType="end"/>
      </w:r>
      <w:r>
        <w:rPr>
          <w:sz w:val="24"/>
          <w:szCs w:val="24"/>
          <w:lang w:val="en-GB"/>
        </w:rPr>
        <w:t>. The complete agreement observed between both methods in these cases reinforces the interpretative consistency of the ENUMERA®-Coli100 method.</w:t>
      </w:r>
    </w:p>
    <w:p w14:paraId="6B66762F" w14:textId="33C9C8CC" w:rsidR="00741BB9" w:rsidRPr="007E4EDA" w:rsidRDefault="00741BB9" w:rsidP="00CD0EF0">
      <w:pPr>
        <w:spacing w:after="120" w:line="360" w:lineRule="auto"/>
        <w:rPr>
          <w:sz w:val="24"/>
          <w:szCs w:val="24"/>
          <w:lang w:val="en-GB"/>
        </w:rPr>
      </w:pPr>
      <w:r>
        <w:rPr>
          <w:sz w:val="24"/>
          <w:szCs w:val="24"/>
          <w:lang w:val="en-GB"/>
        </w:rPr>
        <w:t xml:space="preserve">Quantitative agreement between methods was supported by complementary statistical analyses. Bland-Altman analysis showed a small negative bias for both </w:t>
      </w:r>
      <w:r>
        <w:rPr>
          <w:i/>
          <w:iCs/>
          <w:sz w:val="24"/>
          <w:szCs w:val="24"/>
          <w:lang w:val="en-GB"/>
        </w:rPr>
        <w:t>E. coli</w:t>
      </w:r>
      <w:r>
        <w:rPr>
          <w:sz w:val="24"/>
          <w:szCs w:val="24"/>
          <w:lang w:val="en-GB"/>
        </w:rPr>
        <w:t xml:space="preserve"> and total </w:t>
      </w:r>
      <w:r>
        <w:rPr>
          <w:sz w:val="24"/>
          <w:szCs w:val="24"/>
          <w:lang w:val="en-GB"/>
        </w:rPr>
        <w:lastRenderedPageBreak/>
        <w:t>coliforms, indicating a slight tendency of ENUMERA®-Coli100 method to provide lower estimates than the reference method. However, the magnitude of this bias was low and remained compatible with practical method comparability. This small systematic difference may partly be explained by the intrinsic characteristics of MPN-based enumeration. Unlike direct colony counts, MPN estimates are model-derived values calculated from the pattern of positive and negative wells across defined inoculated volumes. Previous work by McBride (2003) showed that relatively small variations in the nominal volumes assigned to tray wells can produce measurable differences in the resulting MPN estimates, particularly for specific combinations of positive and negative wells. Although such differences may appear minor from an engineering perspective, they underline the importance of maintaining consistency between the physical characteristics of the tray and the MPN table used for result interpretation. Consequently, the physical configuration of the tray, including the number and volume of wells, forms an integral part of the analytical system. Even small differences in well volume or tray geometry can modify the likelihood structure used to estimate microbial concentration and may therefore lead to slight differences in the resulting MPN values. This was illustrated in the comparison of MPN estimates obtained with the reference method when the overflow well was either treated as an independent well or incorporated into the group of large wells. These considerations reinforce the importance of maintaining consistency between the physical characteristics of the tray and the statistical model used for MPN calculation.</w:t>
      </w:r>
    </w:p>
    <w:p w14:paraId="73DA4071" w14:textId="1B5C7331" w:rsidR="00CD0EF0" w:rsidRPr="007E4EDA" w:rsidRDefault="00066B9E" w:rsidP="6F247144">
      <w:pPr>
        <w:spacing w:after="120" w:line="360" w:lineRule="auto"/>
        <w:rPr>
          <w:sz w:val="24"/>
          <w:szCs w:val="24"/>
          <w:lang w:val="en-GB"/>
        </w:rPr>
      </w:pPr>
      <w:r>
        <w:rPr>
          <w:sz w:val="24"/>
          <w:szCs w:val="24"/>
          <w:lang w:val="en-GB"/>
        </w:rPr>
        <w:t>Taken together, these complementary analyses of precision, linearity, and method-comparison regression converge in indicating that the small deviations observed — including the slightly higher variability noted for total coliforms in seawater and the minor biases detected only in the aggregated global dataset — reflect matrix-related variability and the increased statistical power of the combined analysis rather than any systematic shortcoming of the ENUMERA®-Coli100 method, reinforcing its overall analytical comparability with ISO 9308-2.</w:t>
      </w:r>
    </w:p>
    <w:p w14:paraId="16E724FE" w14:textId="4A84402E" w:rsidR="00CD0EF0" w:rsidRPr="007E4EDA" w:rsidRDefault="00CD0EF0" w:rsidP="00CD0EF0">
      <w:pPr>
        <w:spacing w:after="120" w:line="360" w:lineRule="auto"/>
        <w:rPr>
          <w:sz w:val="24"/>
          <w:szCs w:val="24"/>
          <w:lang w:val="en-GB"/>
        </w:rPr>
      </w:pPr>
      <w:r>
        <w:rPr>
          <w:sz w:val="24"/>
          <w:szCs w:val="24"/>
          <w:lang w:val="en-GB"/>
        </w:rPr>
        <w:t xml:space="preserve">Seawater deserves specific comment because this matrix required a 1:10 dilution prior to analysis to reduce salinity-related inhibition. As expected, this resulted in a somewhat higher LOQ than in the other matrices. However, this effect is inherent to the matrix rather than specific to the ENUMERA®-Coli100 method, since the same practical constraint applies when saline samples are analysed by the reference MPN approach. The seawater results </w:t>
      </w:r>
      <w:r>
        <w:rPr>
          <w:sz w:val="24"/>
          <w:szCs w:val="24"/>
          <w:lang w:val="en-GB"/>
        </w:rPr>
        <w:lastRenderedPageBreak/>
        <w:t>should therefore be interpreted as matrix-driven and not as indicative of reduced analytical suitability of the method.</w:t>
      </w:r>
    </w:p>
    <w:p w14:paraId="59A574A4" w14:textId="0CE3E7EB" w:rsidR="00BF26E7" w:rsidRPr="007E4EDA" w:rsidRDefault="00CD0EF0" w:rsidP="00BF26E7">
      <w:pPr>
        <w:spacing w:after="120" w:line="360" w:lineRule="auto"/>
        <w:rPr>
          <w:sz w:val="24"/>
          <w:szCs w:val="24"/>
          <w:lang w:val="en-GB"/>
        </w:rPr>
      </w:pPr>
      <w:r>
        <w:rPr>
          <w:sz w:val="24"/>
          <w:szCs w:val="24"/>
          <w:lang w:val="en-GB"/>
        </w:rPr>
        <w:t>Beyond analytical performance, the new method offers practical features that may be relevant in routine use. The visible-light readout simplifies interpretation</w:t>
      </w:r>
      <w:r>
        <w:t xml:space="preserve"> </w:t>
      </w:r>
      <w:r>
        <w:rPr>
          <w:sz w:val="24"/>
          <w:szCs w:val="24"/>
          <w:lang w:val="en-GB"/>
        </w:rPr>
        <w:t>by avoiding the need for UV illumination, and the integrated reagent-in-cap design reduces open handling steps during sample preparation. These features are expected to reduce opportunities for accidental contamination and to facilitate workflow in laboratories processing large numbers of samples. Since the present work was designed as an analytical validation and method-comparison study rather than as a dedicated usability study, these operational advantages should nevertheless be considered technically plausible rather than formally quantified outcomes. The performance observed in this study suggests that the analytical behaviour of the new method is primarily driven by compliance with the functional requirements of the ISO 9308-2 framework rather than by any specific proprietary medium formulation. The chromogenic substrate system therefore represents the principal distinguishing feature of the method while remaining compatible with the general compositional principles described in the standard.</w:t>
      </w:r>
    </w:p>
    <w:p w14:paraId="2AE12050" w14:textId="66BBF454" w:rsidR="00CD0EF0" w:rsidRPr="007E4EDA" w:rsidRDefault="006124B8" w:rsidP="00CD0EF0">
      <w:pPr>
        <w:spacing w:after="120" w:line="360" w:lineRule="auto"/>
        <w:rPr>
          <w:sz w:val="24"/>
          <w:szCs w:val="24"/>
          <w:lang w:val="en-GB"/>
        </w:rPr>
      </w:pPr>
      <w:r w:rsidRPr="006124B8">
        <w:rPr>
          <w:sz w:val="24"/>
          <w:szCs w:val="24"/>
          <w:lang w:val="en-GB"/>
        </w:rPr>
        <w:t>Beyond the individual analytical findings discussed above, it is the combination of three features that makes the ENUMERA®-Coli100 method genuinely disruptive relative to the current state of the art:</w:t>
      </w:r>
      <w:r w:rsidR="00CD0EF0">
        <w:rPr>
          <w:sz w:val="24"/>
          <w:szCs w:val="24"/>
          <w:lang w:val="en-GB"/>
        </w:rPr>
        <w:t xml:space="preserve"> it replaces UV-dependent fluorogenic detection with a chromogenic readout that can be interpreted under ordinary visible light, it confines sample handling within a sealed, reagent-in-cap system that minimises manipulation and contamination risk, and it maintains full internal consistency between the physical tray design and the MPN estimation model used to interpret it. Combined, these features mark a shift towards a simpler, safer and more robust approach to the routine enumeration of </w:t>
      </w:r>
      <w:r w:rsidR="00CD0EF0">
        <w:rPr>
          <w:i/>
          <w:iCs/>
          <w:sz w:val="24"/>
          <w:szCs w:val="24"/>
          <w:lang w:val="en-GB"/>
        </w:rPr>
        <w:t>E. coli</w:t>
      </w:r>
      <w:r w:rsidR="00CD0EF0">
        <w:rPr>
          <w:sz w:val="24"/>
          <w:szCs w:val="24"/>
          <w:lang w:val="en-GB"/>
        </w:rPr>
        <w:t xml:space="preserve"> and total coliforms, while remaining fully aligned with the analytical principles set out in ISO 9308-2.</w:t>
      </w:r>
    </w:p>
    <w:p w14:paraId="7DA75710" w14:textId="77C33FE0" w:rsidR="00C507F3" w:rsidRPr="007E4EDA" w:rsidRDefault="00745CFF" w:rsidP="00CD0EF0">
      <w:pPr>
        <w:pStyle w:val="Ttol1"/>
        <w:spacing w:before="240" w:after="120" w:line="360" w:lineRule="auto"/>
        <w:rPr>
          <w:b w:val="0"/>
          <w:bCs w:val="0"/>
          <w:lang w:val="en-GB"/>
        </w:rPr>
      </w:pPr>
      <w:r>
        <w:rPr>
          <w:b w:val="0"/>
          <w:bCs w:val="0"/>
          <w:lang w:val="en-GB"/>
        </w:rPr>
        <w:t xml:space="preserve">This work constitutes a formal method validation providing method-comparison evidence generated under controlled experimental conditions, following the framework established by ISO 16140-2 for the validation of alternative proprietary methods against a reference method. The successful completion of this validation process represents a prerequisite for broader adoption of the ENUMERA®-Coli100 method, since national and international regulations governing the microbiological quality assessment of water generally require that alternative methods demonstrate both reproducibility and transferability before they can be implemented in routine analyses. Accordingly, the data presented here provide the necessary basis for </w:t>
      </w:r>
      <w:r>
        <w:rPr>
          <w:b w:val="0"/>
          <w:bCs w:val="0"/>
          <w:lang w:val="en-GB"/>
        </w:rPr>
        <w:lastRenderedPageBreak/>
        <w:t xml:space="preserve">independent laboratories and water quality operators to proceed with the in-house verification of the method, as required prior to its integration into their routine analytical workflows. </w:t>
      </w:r>
    </w:p>
    <w:p w14:paraId="184E4B7E" w14:textId="307E3A60" w:rsidR="237E0641" w:rsidRDefault="237E0641" w:rsidP="237E0641">
      <w:pPr>
        <w:pStyle w:val="Ttol1"/>
        <w:spacing w:before="240" w:after="120" w:line="360" w:lineRule="auto"/>
        <w:rPr>
          <w:lang w:val="en-GB"/>
        </w:rPr>
      </w:pPr>
      <w:r>
        <w:rPr>
          <w:lang w:val="en-GB"/>
        </w:rPr>
        <w:t>5. Conclusions</w:t>
      </w:r>
    </w:p>
    <w:p w14:paraId="723A689E" w14:textId="644DE879" w:rsidR="00CD0EF0" w:rsidRPr="007E4EDA" w:rsidRDefault="002E2772" w:rsidP="002E2772">
      <w:pPr>
        <w:pStyle w:val="Ttol1"/>
        <w:spacing w:before="240" w:after="120" w:line="360" w:lineRule="auto"/>
        <w:rPr>
          <w:b w:val="0"/>
          <w:bCs w:val="0"/>
          <w:lang w:val="en-GB"/>
        </w:rPr>
      </w:pPr>
      <w:r>
        <w:rPr>
          <w:b w:val="0"/>
          <w:bCs w:val="0"/>
          <w:lang w:val="en-GB"/>
        </w:rPr>
        <w:t xml:space="preserve">The ENUMERA®-Coli100 method is a validated alternative to ISO 9308-2 for the simultaneous MPN-based enumeration of </w:t>
      </w:r>
      <w:r>
        <w:rPr>
          <w:b w:val="0"/>
          <w:bCs w:val="0"/>
          <w:i/>
          <w:iCs/>
          <w:lang w:val="en-GB"/>
        </w:rPr>
        <w:t>E. coli</w:t>
      </w:r>
      <w:r>
        <w:rPr>
          <w:b w:val="0"/>
          <w:bCs w:val="0"/>
          <w:lang w:val="en-GB"/>
        </w:rPr>
        <w:t xml:space="preserve"> and total coliforms in 100 mL water samples. In this study, the method showed full analytical comparability with the reference procedure across drinking water, surface water, reclaimed water, wastewater, and seawater. Sensitivity was 100%, selectivity and specificity were fully consistent with those of the reference method, and quantitative performance in terms of relative trueness, precision, linearity, LOD, and LOQ was satisfactory throughout the study.</w:t>
      </w:r>
    </w:p>
    <w:p w14:paraId="45CC67D0" w14:textId="7CBC64F6" w:rsidR="00CD0EF0" w:rsidRPr="007E4EDA" w:rsidRDefault="00CD0EF0" w:rsidP="00CD0EF0">
      <w:pPr>
        <w:spacing w:after="120" w:line="360" w:lineRule="auto"/>
        <w:rPr>
          <w:sz w:val="24"/>
          <w:szCs w:val="24"/>
          <w:lang w:val="en-GB"/>
        </w:rPr>
      </w:pPr>
      <w:r>
        <w:rPr>
          <w:sz w:val="24"/>
          <w:szCs w:val="24"/>
          <w:lang w:val="en-GB"/>
        </w:rPr>
        <w:t xml:space="preserve">The method also introduces two practical innovations of relevance for routine application: first, a chromogenic substrate for </w:t>
      </w:r>
      <w:r>
        <w:rPr>
          <w:i/>
          <w:iCs/>
          <w:sz w:val="24"/>
          <w:szCs w:val="24"/>
          <w:lang w:val="en-GB"/>
        </w:rPr>
        <w:t>E. coli</w:t>
      </w:r>
      <w:r>
        <w:rPr>
          <w:sz w:val="24"/>
          <w:szCs w:val="24"/>
          <w:lang w:val="en-GB"/>
        </w:rPr>
        <w:t xml:space="preserve"> detection that enables direct visual reading under ambient light; and second, an integrated reagent-delivery cap that allows resuspension of the dehydrated medium without opening the sample bottle. These features simplify the analytical procedure while preserving the fundamental MPN principles underlying ISO 9308-2 and maintaining consistency between tray configuration and statistical interpretation.</w:t>
      </w:r>
    </w:p>
    <w:p w14:paraId="4DB77E7D" w14:textId="5B894127" w:rsidR="00CD0EF0" w:rsidRPr="007E4EDA" w:rsidRDefault="00CD0EF0" w:rsidP="00CD0EF0">
      <w:pPr>
        <w:spacing w:after="120" w:line="360" w:lineRule="auto"/>
        <w:rPr>
          <w:sz w:val="24"/>
          <w:szCs w:val="24"/>
          <w:lang w:val="en-GB"/>
        </w:rPr>
      </w:pPr>
      <w:r>
        <w:rPr>
          <w:sz w:val="24"/>
          <w:szCs w:val="24"/>
          <w:lang w:val="en-GB"/>
        </w:rPr>
        <w:t>The chromogenic medium was also found to be compatible with alternative tray-based MPN formats, indicating that its applicability is not limited to a single proprietary tray design.</w:t>
      </w:r>
    </w:p>
    <w:p w14:paraId="137C58C8" w14:textId="52045980" w:rsidR="00CD0EF0" w:rsidRPr="007E4EDA" w:rsidRDefault="00CD0EF0" w:rsidP="00CD0EF0">
      <w:pPr>
        <w:spacing w:after="120" w:line="360" w:lineRule="auto"/>
        <w:rPr>
          <w:sz w:val="24"/>
          <w:szCs w:val="24"/>
          <w:lang w:val="en-GB"/>
        </w:rPr>
      </w:pPr>
      <w:r>
        <w:rPr>
          <w:sz w:val="24"/>
          <w:szCs w:val="24"/>
          <w:lang w:val="en-GB"/>
        </w:rPr>
        <w:t xml:space="preserve">Overall, the results show that ISO 9308-2-compatible enumeration of </w:t>
      </w:r>
      <w:r>
        <w:rPr>
          <w:i/>
          <w:iCs/>
          <w:sz w:val="24"/>
          <w:szCs w:val="24"/>
          <w:lang w:val="en-GB"/>
        </w:rPr>
        <w:t>E. coli</w:t>
      </w:r>
      <w:r>
        <w:rPr>
          <w:sz w:val="24"/>
          <w:szCs w:val="24"/>
          <w:lang w:val="en-GB"/>
        </w:rPr>
        <w:t xml:space="preserve"> and total coliforms can be achieved through an alternative format that does not rely on UV-dependent fluorescence and remains analytically equivalent to the reference method. The ENUMERA®-Coli100 method therefore represents a robust and promising option for routine microbial water quality monitoring. Further interlaboratory validation would be the appropriate next step to confirm reproducibility under broader implementation conditions.</w:t>
      </w:r>
    </w:p>
    <w:p w14:paraId="122DCB65" w14:textId="77777777" w:rsidR="007630FE" w:rsidRPr="007E4EDA" w:rsidRDefault="007630FE" w:rsidP="00E7232A">
      <w:pPr>
        <w:spacing w:after="80" w:line="360" w:lineRule="auto"/>
        <w:rPr>
          <w:sz w:val="24"/>
          <w:szCs w:val="24"/>
          <w:lang w:val="en-GB"/>
        </w:rPr>
      </w:pPr>
    </w:p>
    <w:p w14:paraId="42AA5A3A" w14:textId="1C5435B8" w:rsidR="00173C14" w:rsidRPr="007E4EDA" w:rsidRDefault="00173C14" w:rsidP="00173C14">
      <w:pPr>
        <w:spacing w:after="80" w:line="360" w:lineRule="auto"/>
        <w:rPr>
          <w:sz w:val="24"/>
          <w:szCs w:val="24"/>
          <w:lang w:val="en-GB"/>
        </w:rPr>
      </w:pPr>
      <w:r>
        <w:rPr>
          <w:b/>
          <w:bCs/>
          <w:sz w:val="24"/>
          <w:szCs w:val="24"/>
          <w:lang w:val="en-GB"/>
        </w:rPr>
        <w:t>Funding</w:t>
      </w:r>
    </w:p>
    <w:p w14:paraId="0AD7D1E4" w14:textId="3F1D4E98" w:rsidR="00173C14" w:rsidRPr="007E4EDA" w:rsidRDefault="00173C14" w:rsidP="00173C14">
      <w:pPr>
        <w:spacing w:after="80" w:line="360" w:lineRule="auto"/>
        <w:rPr>
          <w:sz w:val="24"/>
          <w:szCs w:val="24"/>
          <w:lang w:val="en-GB"/>
        </w:rPr>
      </w:pPr>
      <w:r>
        <w:rPr>
          <w:sz w:val="24"/>
          <w:szCs w:val="24"/>
          <w:lang w:val="en-GB"/>
        </w:rPr>
        <w:t>This work was supported by research project FBG 312185, managed through the Fundació Bosch i Gimpera of the University of Barcelona.</w:t>
      </w:r>
    </w:p>
    <w:p w14:paraId="35E9B69A" w14:textId="77777777" w:rsidR="00173C14" w:rsidRPr="007E4EDA" w:rsidRDefault="00173C14" w:rsidP="00173C14">
      <w:pPr>
        <w:spacing w:after="80" w:line="360" w:lineRule="auto"/>
        <w:rPr>
          <w:sz w:val="24"/>
          <w:szCs w:val="24"/>
          <w:lang w:val="en-GB"/>
        </w:rPr>
      </w:pPr>
    </w:p>
    <w:p w14:paraId="02A2A54B" w14:textId="34ABE791" w:rsidR="00173C14" w:rsidRPr="007E4EDA" w:rsidRDefault="00173C14" w:rsidP="00173C14">
      <w:pPr>
        <w:spacing w:after="80" w:line="360" w:lineRule="auto"/>
        <w:rPr>
          <w:sz w:val="24"/>
          <w:szCs w:val="24"/>
          <w:lang w:val="en-GB"/>
        </w:rPr>
      </w:pPr>
      <w:r>
        <w:rPr>
          <w:b/>
          <w:bCs/>
          <w:sz w:val="24"/>
          <w:szCs w:val="24"/>
          <w:lang w:val="en-GB"/>
        </w:rPr>
        <w:t>Declaration of competing interests</w:t>
      </w:r>
    </w:p>
    <w:p w14:paraId="149BCDC8" w14:textId="5A284280" w:rsidR="00173C14" w:rsidRPr="00373AFD" w:rsidRDefault="00582729" w:rsidP="00173C14">
      <w:pPr>
        <w:spacing w:after="80" w:line="360" w:lineRule="auto"/>
        <w:rPr>
          <w:sz w:val="24"/>
          <w:szCs w:val="24"/>
          <w:lang w:val="en-US"/>
        </w:rPr>
      </w:pPr>
      <w:r>
        <w:rPr>
          <w:sz w:val="24"/>
          <w:szCs w:val="24"/>
          <w:lang w:val="en-GB"/>
        </w:rPr>
        <w:lastRenderedPageBreak/>
        <w:t>There are no competing interests in relation to this work.</w:t>
      </w:r>
    </w:p>
    <w:p w14:paraId="23874DA6" w14:textId="77777777" w:rsidR="00173C14" w:rsidRPr="007E4EDA" w:rsidRDefault="00173C14" w:rsidP="00E7232A">
      <w:pPr>
        <w:spacing w:after="80" w:line="360" w:lineRule="auto"/>
        <w:rPr>
          <w:sz w:val="24"/>
          <w:szCs w:val="24"/>
          <w:lang w:val="en-GB"/>
        </w:rPr>
      </w:pPr>
    </w:p>
    <w:p w14:paraId="50CE794A" w14:textId="77777777" w:rsidR="007630FE" w:rsidRPr="00373AFD" w:rsidRDefault="00C57A2D" w:rsidP="00E7232A">
      <w:pPr>
        <w:pStyle w:val="Ttol1"/>
        <w:spacing w:before="240" w:after="120" w:line="360" w:lineRule="auto"/>
        <w:rPr>
          <w:lang w:val="en-GB"/>
        </w:rPr>
      </w:pPr>
      <w:r>
        <w:rPr>
          <w:lang w:val="en-GB"/>
        </w:rPr>
        <w:t>References</w:t>
      </w:r>
    </w:p>
    <w:p w14:paraId="4D0E36CE" w14:textId="77777777" w:rsidR="001046D4" w:rsidRPr="001046D4" w:rsidRDefault="00F463D1" w:rsidP="001046D4">
      <w:pPr>
        <w:pStyle w:val="Bibliografia"/>
      </w:pPr>
      <w:r>
        <w:rPr>
          <w:szCs w:val="24"/>
          <w:lang w:val="en-GB"/>
        </w:rPr>
        <w:fldChar w:fldCharType="begin"/>
      </w:r>
      <w:r w:rsidR="001046D4">
        <w:rPr>
          <w:szCs w:val="24"/>
          <w:lang w:val="es-ES"/>
        </w:rPr>
        <w:instrText xml:space="preserve"> ADDIN ZOTERO_BIBL {"uncited":[],"omitted":[],"custom":[]} CSL_BIBLIOGRAPHY </w:instrText>
      </w:r>
      <w:r>
        <w:rPr>
          <w:szCs w:val="24"/>
          <w:lang w:val="en-GB"/>
        </w:rPr>
        <w:fldChar w:fldCharType="separate"/>
      </w:r>
      <w:r w:rsidR="001046D4" w:rsidRPr="001046D4">
        <w:t>Armon, R., Araujo, R., Kott, Y., Lucena, F., Jofre, J., 1997. Bacteriophages of enteric bacteria in drinking water, comparison of their distribution in two countries. Journal of Applied Microbiology 83, 627–633. https://doi.org/10.1046/j.1365-2672.1997.00278.x</w:t>
      </w:r>
    </w:p>
    <w:p w14:paraId="35595986" w14:textId="77777777" w:rsidR="001046D4" w:rsidRPr="001046D4" w:rsidRDefault="001046D4" w:rsidP="001046D4">
      <w:pPr>
        <w:pStyle w:val="Bibliografia"/>
      </w:pPr>
      <w:r w:rsidRPr="001046D4">
        <w:t>Baudišová, D., 1997. Evaluation of Escherichia coli as the main indicator of faecal pollution. Water Science and Technology 35, 333–336. https://doi.org/10.2166/wst.1997.0755</w:t>
      </w:r>
    </w:p>
    <w:p w14:paraId="3FCC379B" w14:textId="77777777" w:rsidR="001046D4" w:rsidRPr="001046D4" w:rsidRDefault="001046D4" w:rsidP="001046D4">
      <w:pPr>
        <w:pStyle w:val="Bibliografia"/>
      </w:pPr>
      <w:r w:rsidRPr="001046D4">
        <w:t>Blackburn, J., Deterding, A., Thompson, W., Benzinger, M.J., Bastin, B., Evrard, J., Wentrup, C., Michon, C., Cruz Ramos, H., 2023. Validation of the AquaCHROM</w:t>
      </w:r>
      <w:r w:rsidRPr="001046D4">
        <w:rPr>
          <w:vertAlign w:val="superscript"/>
        </w:rPr>
        <w:t>TM</w:t>
      </w:r>
      <w:r w:rsidRPr="001046D4">
        <w:t xml:space="preserve"> ECC for the Detection and Enumeration of Coliforms and Escherichia coli in Water Samples: AOAC Performance Tested MethodSM 072202. Journal of AOAC International 106, 678–689. https://doi.org/10.1093/jaoacint/qsac120</w:t>
      </w:r>
    </w:p>
    <w:p w14:paraId="187E0B8E" w14:textId="77777777" w:rsidR="001046D4" w:rsidRPr="001046D4" w:rsidRDefault="001046D4" w:rsidP="001046D4">
      <w:pPr>
        <w:pStyle w:val="Bibliografia"/>
      </w:pPr>
      <w:r w:rsidRPr="001046D4">
        <w:t>Blanch, A., Galofré, B., Lucena, F., Terradillos, A., Vilanova, X., Ribas, F., 2007. Characterization of bacterial coliform occurrences in different zones of a drinking water distribution system. JOURNAL OF APPLIED MICROBIOLOGY 102, 711–721. https://doi.org/10.1111/j.1365-2672.2006.03141.x</w:t>
      </w:r>
    </w:p>
    <w:p w14:paraId="368DFCAF" w14:textId="77777777" w:rsidR="001046D4" w:rsidRPr="001046D4" w:rsidRDefault="001046D4" w:rsidP="001046D4">
      <w:pPr>
        <w:pStyle w:val="Bibliografia"/>
      </w:pPr>
      <w:r w:rsidRPr="001046D4">
        <w:t>Bonjoch, X., Blanch, A., 2009. Resistance of Faecal Coliforms and Enterococci Populations in Sludge and Biosolids to Different Hygienisation Treatments. MICROBIAL ECOLOGY 57, 478–483. https://doi.org/10.1007/s00248-008-9430-7</w:t>
      </w:r>
    </w:p>
    <w:p w14:paraId="0023A4F6" w14:textId="77777777" w:rsidR="001046D4" w:rsidRPr="001046D4" w:rsidRDefault="001046D4" w:rsidP="001046D4">
      <w:pPr>
        <w:pStyle w:val="Bibliografia"/>
      </w:pPr>
      <w:r w:rsidRPr="001046D4">
        <w:t>Boubetra, A., Nestour, F.L., Allaert, C., Feinberg, M., 2011. Validation of alternative methods for the analysis of drinking water and their application to Escherichia coli. Applied and Environmental Microbiology 77, 3360–3367. https://doi.org/10.1128/AEM.00020-11</w:t>
      </w:r>
    </w:p>
    <w:p w14:paraId="727C2D9B" w14:textId="77777777" w:rsidR="001046D4" w:rsidRPr="001046D4" w:rsidRDefault="001046D4" w:rsidP="001046D4">
      <w:pPr>
        <w:pStyle w:val="Bibliografia"/>
      </w:pPr>
      <w:r w:rsidRPr="001046D4">
        <w:t>Brown-Jaque, M., Calero-Cáceres, W., Espinal, P., Rodríguez-Navarro, J., Miró, E., González-López, J.J., Cornejo, T., Hurtado, J.C., Navarro, F., Muniesa, M., 2018. Antibiotic resistance genes in phage particles isolated from human faeces and induced from clinical bacterial isolates. International Journal of Antimicrobial Agents 51, 434–442. https://doi.org/10.1016/j.ijantimicag.2017.11.014</w:t>
      </w:r>
    </w:p>
    <w:p w14:paraId="20EE9503" w14:textId="77777777" w:rsidR="001046D4" w:rsidRPr="001046D4" w:rsidRDefault="001046D4" w:rsidP="001046D4">
      <w:pPr>
        <w:pStyle w:val="Bibliografia"/>
      </w:pPr>
      <w:r w:rsidRPr="001046D4">
        <w:t>Brown-Jaque, M., Muniesa, M., Navarro, F., 2016. Bacteriophages in clinical samples can interfere with microbiological diagnostic tools. Scientific Reports 6, 33000. https://doi.org/10.1038/srep33000</w:t>
      </w:r>
    </w:p>
    <w:p w14:paraId="7BD76622" w14:textId="77777777" w:rsidR="001046D4" w:rsidRPr="001046D4" w:rsidRDefault="001046D4" w:rsidP="001046D4">
      <w:pPr>
        <w:pStyle w:val="Bibliografia"/>
      </w:pPr>
      <w:r w:rsidRPr="001046D4">
        <w:t>Colomer-Lluch, M., Jofre, J., Muniesa, M., 2014. Quinolone resistance genes (qnrA and qnrS) in bacteriophage particles from wastewater samples and the effect of inducing agents on packaged antibiotic resistance genes. Journal of Antimicrobial Chemotherapy 69, 1265–1274. https://doi.org/10.1093/jac/dkt528</w:t>
      </w:r>
    </w:p>
    <w:p w14:paraId="11762296" w14:textId="77777777" w:rsidR="001046D4" w:rsidRPr="001046D4" w:rsidRDefault="001046D4" w:rsidP="001046D4">
      <w:pPr>
        <w:pStyle w:val="Bibliografia"/>
      </w:pPr>
      <w:r w:rsidRPr="001046D4">
        <w:t>Colomer-Lluch, M., Mora, A., López, C., Mamani, R., Dahbi, G., Marzoa, J., Herrera, A., Viso, S., Blanco, J.E., Blanco, M., Alonso, M.P., Jofre, J., Muniesa, M., Blanco, J., 2013. Detection of quinolone-resistant Escherichia coli isolates belonging to clonal groups O25b:H4-B2-ST131 and O25b:H4-D-ST69 in raw sewage and river water in Barcelona, Spain. Journal of Antimicrobial Chemotherapy 68, 758–765. https://doi.org/10.1093/jac/dks477</w:t>
      </w:r>
    </w:p>
    <w:p w14:paraId="7C198E42" w14:textId="77777777" w:rsidR="001046D4" w:rsidRPr="001046D4" w:rsidRDefault="001046D4" w:rsidP="001046D4">
      <w:pPr>
        <w:pStyle w:val="Bibliografia"/>
      </w:pPr>
      <w:r w:rsidRPr="001046D4">
        <w:t>Dufour, A.P., Strickland, E.R., Cabelli, V.J., 1981. Membrane filter method for enumerating Escherichia coli. Applied and Environmental Microbiology 41, 1152–1158. https://doi.org/10.1128/aem.41.5.1152-1158.1981</w:t>
      </w:r>
    </w:p>
    <w:p w14:paraId="7B737BE6" w14:textId="77777777" w:rsidR="001046D4" w:rsidRPr="001046D4" w:rsidRDefault="001046D4" w:rsidP="001046D4">
      <w:pPr>
        <w:pStyle w:val="Bibliografia"/>
      </w:pPr>
      <w:r w:rsidRPr="001046D4">
        <w:t>Feng, P.C.S., Hartman, P.A., 1982. Fluorogenic assays for immediate confirmation of Escherichia coli. Applied and Environmental Microbiology 43, 1320–1329.</w:t>
      </w:r>
    </w:p>
    <w:p w14:paraId="18652590" w14:textId="77777777" w:rsidR="001046D4" w:rsidRPr="001046D4" w:rsidRDefault="001046D4" w:rsidP="001046D4">
      <w:pPr>
        <w:pStyle w:val="Bibliografia"/>
      </w:pPr>
      <w:r w:rsidRPr="001046D4">
        <w:t>Fricker, E.J., Iliffe, M., Fricker, C.R., 1997. Using IDEXX Colilert and Quantitray for the simultaneous detection and enumeration of total coliforms and E. coli. Journal of the American Water Works Association 89, 131–136.</w:t>
      </w:r>
    </w:p>
    <w:p w14:paraId="7B5EB44A" w14:textId="77777777" w:rsidR="001046D4" w:rsidRPr="001046D4" w:rsidRDefault="001046D4" w:rsidP="001046D4">
      <w:pPr>
        <w:pStyle w:val="Bibliografia"/>
      </w:pPr>
      <w:r w:rsidRPr="001046D4">
        <w:t>Grassi, M., 2026. valytics: Statistical methods for analytical method comparison and validation (manual). https://doi.org/10.32614/CRAN.package.valytics</w:t>
      </w:r>
    </w:p>
    <w:p w14:paraId="7B3776D0" w14:textId="77777777" w:rsidR="001046D4" w:rsidRPr="001046D4" w:rsidRDefault="001046D4" w:rsidP="001046D4">
      <w:pPr>
        <w:pStyle w:val="Bibliografia"/>
      </w:pPr>
      <w:r w:rsidRPr="001046D4">
        <w:t>Hanahan, D., 1983. Studies on transformation of Escherichia coli with plasmids. Journal of Molecular Biology 166, 557–580. https://doi.org/10.1016/S0022-2836(83)80284-8</w:t>
      </w:r>
    </w:p>
    <w:p w14:paraId="19D5F430" w14:textId="77777777" w:rsidR="001046D4" w:rsidRPr="001046D4" w:rsidRDefault="001046D4" w:rsidP="001046D4">
      <w:pPr>
        <w:pStyle w:val="Bibliografia"/>
      </w:pPr>
      <w:r w:rsidRPr="001046D4">
        <w:t>Hurley, M.A., Roscoe, M.E., 1983. Automated statistical analysis of microbial enumeration by dilution series. Journal of Applied Bacteriology 55, 159–164.</w:t>
      </w:r>
    </w:p>
    <w:p w14:paraId="40059B32" w14:textId="77777777" w:rsidR="001046D4" w:rsidRPr="001046D4" w:rsidRDefault="001046D4" w:rsidP="001046D4">
      <w:pPr>
        <w:pStyle w:val="Bibliografia"/>
      </w:pPr>
      <w:r w:rsidRPr="001046D4">
        <w:t>Imamovic, L., Martínez-Castillo, A., Benavides, C., Muniesa, M., 2015. BaeSR, involved in envelope stress response, protects against lysogenic conversion by Shiga toxin 2-encoding phages. Infection and Immunity 83, 1451–1457. https://doi.org/10.1128/IAI.02916-14</w:t>
      </w:r>
    </w:p>
    <w:p w14:paraId="321FAB20" w14:textId="77777777" w:rsidR="001046D4" w:rsidRPr="001046D4" w:rsidRDefault="001046D4" w:rsidP="001046D4">
      <w:pPr>
        <w:pStyle w:val="Bibliografia"/>
      </w:pPr>
      <w:r w:rsidRPr="001046D4">
        <w:t>Imamovic, L., Muniesa, M., 2011. Quantification and evaluation of infectivity of shiga toxin-encoding bacteriophages in beef and salad. Applied and Environmental Microbiology 77, 3536–3540. https://doi.org/10.1128/AEM.02703-10</w:t>
      </w:r>
    </w:p>
    <w:p w14:paraId="03F4BBED" w14:textId="77777777" w:rsidR="001046D4" w:rsidRPr="001046D4" w:rsidRDefault="001046D4" w:rsidP="001046D4">
      <w:pPr>
        <w:pStyle w:val="Bibliografia"/>
      </w:pPr>
      <w:r w:rsidRPr="001046D4">
        <w:lastRenderedPageBreak/>
        <w:t>International Organization for Standardization, 2017. ISO 13843:2017. Water quality — Requirements for establishing performance characteristics of quantitative microbiological methods. International Organization for Standardization, Geneva, Switzerland.</w:t>
      </w:r>
    </w:p>
    <w:p w14:paraId="5EDA29A5" w14:textId="77777777" w:rsidR="001046D4" w:rsidRPr="001046D4" w:rsidRDefault="001046D4" w:rsidP="001046D4">
      <w:pPr>
        <w:pStyle w:val="Bibliografia"/>
      </w:pPr>
      <w:r w:rsidRPr="001046D4">
        <w:t>International Organization for Standardization, 2016. ISO 16140-2:2016. Microbiology of the food chain — Method validation — Part 2: Protocol for the validation of alternative (proprietary) methods against a reference method. International Organization for Standardization, Geneva, Switzerland.</w:t>
      </w:r>
    </w:p>
    <w:p w14:paraId="727C81C5" w14:textId="77777777" w:rsidR="001046D4" w:rsidRPr="001046D4" w:rsidRDefault="001046D4" w:rsidP="001046D4">
      <w:pPr>
        <w:pStyle w:val="Bibliografia"/>
      </w:pPr>
      <w:r w:rsidRPr="001046D4">
        <w:t>International Organization for Standardization, 2014. ISO 9308-1:2014. Water quality — Detection and enumeration of Escherichia coli and coliform bacteria — Part 1: Membrane filtration method for waters with low bacterial background flora. International Organization for Standardization, Geneva, Switzerland.</w:t>
      </w:r>
    </w:p>
    <w:p w14:paraId="2D8B52CF" w14:textId="77777777" w:rsidR="001046D4" w:rsidRPr="001046D4" w:rsidRDefault="001046D4" w:rsidP="001046D4">
      <w:pPr>
        <w:pStyle w:val="Bibliografia"/>
      </w:pPr>
      <w:r w:rsidRPr="001046D4">
        <w:t>International Organization for Standardization, 2012. ISO 9308-2:2012. Water quality — Enumeration of Escherichia coli and coliform bacteria — Part 2: Most probable number method. International Organization for Standardization, Geneva, Switzerland.</w:t>
      </w:r>
    </w:p>
    <w:p w14:paraId="54F4ACEF" w14:textId="77777777" w:rsidR="001046D4" w:rsidRPr="001046D4" w:rsidRDefault="001046D4" w:rsidP="001046D4">
      <w:pPr>
        <w:pStyle w:val="Bibliografia"/>
      </w:pPr>
      <w:r w:rsidRPr="001046D4">
        <w:t>International Organization for Standardization, 1999. ISO 9308-3:1999. Water quality — Detection and enumeration of Escherichia coli and coliform bacteria — Part 3: Miniaturized method (Most Probable Number) by inoculation in liquid medium. International Organization for Standardization, Geneva, Switzerland.</w:t>
      </w:r>
    </w:p>
    <w:p w14:paraId="499B2F94" w14:textId="77777777" w:rsidR="001046D4" w:rsidRPr="001046D4" w:rsidRDefault="001046D4" w:rsidP="001046D4">
      <w:pPr>
        <w:pStyle w:val="Bibliografia"/>
      </w:pPr>
      <w:r w:rsidRPr="001046D4">
        <w:t>Jarvis, B., Wilrich, C., Wilrich, P.T., 2010. Reconsideration of the derivation of Most Probable Numbers, their standard deviations, confidence bounds and rarity values. Journal of Applied Microbiology 109, 1660–1667. https://doi.org/10.1111/j.1365-2672.2010.04792.x</w:t>
      </w:r>
    </w:p>
    <w:p w14:paraId="617D2A0A" w14:textId="77777777" w:rsidR="001046D4" w:rsidRPr="001046D4" w:rsidRDefault="001046D4" w:rsidP="001046D4">
      <w:pPr>
        <w:pStyle w:val="Bibliografia"/>
      </w:pPr>
      <w:r w:rsidRPr="001046D4">
        <w:t>Jofre, J., Lucena, F., Mooijman, K.A., Pierzo, V., Araujo, R., Bahar, M., Demarquilly, C., Havelaar, A., 2000. Bacteriophages in bathing waters: A feasibility study on the development of a method based on bacteriophages for the determination of microbiological quality of bathing waters., bcr Information. European Commission, Directorate General XII, Luxemburg. https://doi.org/http://hdl.handle.net/2445/170910</w:t>
      </w:r>
    </w:p>
    <w:p w14:paraId="19C2A358" w14:textId="77777777" w:rsidR="001046D4" w:rsidRPr="001046D4" w:rsidRDefault="001046D4" w:rsidP="001046D4">
      <w:pPr>
        <w:pStyle w:val="Bibliografia"/>
      </w:pPr>
      <w:r w:rsidRPr="001046D4">
        <w:t xml:space="preserve">Lan, R., Reeves, P.R., 2002. </w:t>
      </w:r>
      <w:r w:rsidRPr="001046D4">
        <w:rPr>
          <w:i/>
          <w:iCs/>
        </w:rPr>
        <w:t>Escherichia coli</w:t>
      </w:r>
      <w:r w:rsidRPr="001046D4">
        <w:t xml:space="preserve"> in disguise: molecular origins of Shigella. Microbes and Infection 4, 1125–1132. https://doi.org/10.1016/S1286-4579(02)01637-4</w:t>
      </w:r>
    </w:p>
    <w:p w14:paraId="5B01150C" w14:textId="77777777" w:rsidR="001046D4" w:rsidRPr="001046D4" w:rsidRDefault="001046D4" w:rsidP="001046D4">
      <w:pPr>
        <w:pStyle w:val="Bibliografia"/>
      </w:pPr>
      <w:r w:rsidRPr="001046D4">
        <w:t>Linnet, K., 1993. Evaluation of regression procedures for methods comparison studies. Clin Chem 39, 424–432.</w:t>
      </w:r>
    </w:p>
    <w:p w14:paraId="53916266" w14:textId="77777777" w:rsidR="001046D4" w:rsidRPr="001046D4" w:rsidRDefault="001046D4" w:rsidP="001046D4">
      <w:pPr>
        <w:pStyle w:val="Bibliografia"/>
      </w:pPr>
      <w:r w:rsidRPr="001046D4">
        <w:t>Manafi, M., 2000. New developments in chromogenic and fluorogenic culture media. INTERNATIONAL JOURNAL OF FOOD MICROBIOLOGY 60, 205–218. https://doi.org/10.1016/S0168-1605(00)00312-3</w:t>
      </w:r>
    </w:p>
    <w:p w14:paraId="0B78B242" w14:textId="77777777" w:rsidR="001046D4" w:rsidRPr="001046D4" w:rsidRDefault="001046D4" w:rsidP="001046D4">
      <w:pPr>
        <w:pStyle w:val="Bibliografia"/>
      </w:pPr>
      <w:r w:rsidRPr="001046D4">
        <w:t>Marti, E., Jofre, J., Balcazar, J.L., 2013. Prevalence of Antibiotic Resistance Genes and Bacterial Community Composition in a River Influenced by a Wastewater Treatment Plant. PLoS ONE 8, e78906. https://doi.org/10.1371/journal.pone.0078906</w:t>
      </w:r>
    </w:p>
    <w:p w14:paraId="305B413B" w14:textId="77777777" w:rsidR="001046D4" w:rsidRPr="001046D4" w:rsidRDefault="001046D4" w:rsidP="001046D4">
      <w:pPr>
        <w:pStyle w:val="Bibliografia"/>
      </w:pPr>
      <w:r w:rsidRPr="001046D4">
        <w:t>McBride, G.B., 2003. Preparing exact Most Probable Number (MPN) tables using occupancy theory, and accompanying measures of uncertainty (No. Technical Report 121). NIWA.</w:t>
      </w:r>
    </w:p>
    <w:p w14:paraId="37E23134" w14:textId="77777777" w:rsidR="001046D4" w:rsidRPr="001046D4" w:rsidRDefault="001046D4" w:rsidP="001046D4">
      <w:pPr>
        <w:pStyle w:val="Bibliografia"/>
      </w:pPr>
      <w:r w:rsidRPr="001046D4">
        <w:t xml:space="preserve">Muniesa, M., Serra-Moreno, R., Jofre, J., 2004. Free Shiga toxin bacteriophages isolated from sewage showed diversity although the </w:t>
      </w:r>
      <w:r w:rsidRPr="001046D4">
        <w:rPr>
          <w:i/>
          <w:iCs/>
        </w:rPr>
        <w:t>stx</w:t>
      </w:r>
      <w:r w:rsidRPr="001046D4">
        <w:t xml:space="preserve"> genes appeared conserved. Environmental Microbiology 6, 716–725. https://doi.org/10.1111/j.1462-2920.2004.00604.x</w:t>
      </w:r>
    </w:p>
    <w:p w14:paraId="7B865747" w14:textId="77777777" w:rsidR="001046D4" w:rsidRPr="001046D4" w:rsidRDefault="001046D4" w:rsidP="001046D4">
      <w:pPr>
        <w:pStyle w:val="Bibliografia"/>
      </w:pPr>
      <w:r w:rsidRPr="001046D4">
        <w:t>Olstadt, J., Schauer, J.J., Standridge, J., Kluender, S., 2007. A comparison of ten USEPA approved total coliform/E. coli tests. Journal of Water and Health 5, 267–282.</w:t>
      </w:r>
    </w:p>
    <w:p w14:paraId="6BCF3241" w14:textId="77777777" w:rsidR="001046D4" w:rsidRPr="001046D4" w:rsidRDefault="001046D4" w:rsidP="001046D4">
      <w:pPr>
        <w:pStyle w:val="Bibliografia"/>
      </w:pPr>
      <w:r w:rsidRPr="001046D4">
        <w:t>Pascual-Benito, M., Méndez, J., Ramos-Barbero, M.D., Jorba-Plassa, A., Martín-Díaz, J., Blanch, A.R., 2024. Efficient quantification of somatic coliphages in water: Development and validation of the Enumera®Rapid kit. Science of the Total Environment 957, 177500. https://doi.org/10.1016/j.scitotenv.2024.177500</w:t>
      </w:r>
    </w:p>
    <w:p w14:paraId="06C7E45F" w14:textId="77777777" w:rsidR="001046D4" w:rsidRPr="001046D4" w:rsidRDefault="001046D4" w:rsidP="001046D4">
      <w:pPr>
        <w:pStyle w:val="Bibliografia"/>
      </w:pPr>
      <w:r w:rsidRPr="001046D4">
        <w:t>Potapov, S., Model, F., Schuetzenmeister, A., Manuilova, E., Dufey, F., Raymaekers, J., 2024. mcr: Method comparison regression (manual). https://doi.org/10.32614/CRAN.package.mcr</w:t>
      </w:r>
    </w:p>
    <w:p w14:paraId="3D90D49F" w14:textId="77777777" w:rsidR="001046D4" w:rsidRPr="001046D4" w:rsidRDefault="001046D4" w:rsidP="001046D4">
      <w:pPr>
        <w:pStyle w:val="Bibliografia"/>
      </w:pPr>
      <w:r w:rsidRPr="001046D4">
        <w:t>R, L., Pr, R., n.d. Escherichia coli in disguise: molecular origins of Shigella. PubMed.</w:t>
      </w:r>
    </w:p>
    <w:p w14:paraId="7839B5DE" w14:textId="77777777" w:rsidR="001046D4" w:rsidRPr="001046D4" w:rsidRDefault="001046D4" w:rsidP="001046D4">
      <w:pPr>
        <w:pStyle w:val="Bibliografia"/>
      </w:pPr>
      <w:r w:rsidRPr="001046D4">
        <w:t>Ubeda, C., Maiques, E., Knecht, E., Lasa, I., Novick, R.P., Penadés, J.R., 2005. Antibiotic-induced SOS response promotes horizontal dissemination of pathogenicity island-encoded virulence factors in staphylococci. Molecular Microbiology 56, 836–844. https://doi.org/10.1111/j.1365-2958.2005.04584.x</w:t>
      </w:r>
    </w:p>
    <w:p w14:paraId="59030B3F" w14:textId="77777777" w:rsidR="001046D4" w:rsidRPr="001046D4" w:rsidRDefault="001046D4" w:rsidP="001046D4">
      <w:pPr>
        <w:pStyle w:val="Bibliografia"/>
      </w:pPr>
      <w:r w:rsidRPr="001046D4">
        <w:t>UN-Water, 2021. Summary Progress Update 2021 – SDG 6 – water and sanitation for all. UN-Water, Geneva, Switzerland.</w:t>
      </w:r>
    </w:p>
    <w:p w14:paraId="31694076" w14:textId="17FCBF0A" w:rsidR="00426019" w:rsidRPr="007E4EDA" w:rsidRDefault="00F463D1" w:rsidP="0021410C">
      <w:pPr>
        <w:spacing w:after="80" w:line="360" w:lineRule="auto"/>
        <w:ind w:left="720" w:hanging="720"/>
        <w:rPr>
          <w:sz w:val="24"/>
          <w:szCs w:val="24"/>
          <w:lang w:val="en-GB"/>
        </w:rPr>
      </w:pPr>
      <w:r>
        <w:rPr>
          <w:sz w:val="24"/>
          <w:szCs w:val="24"/>
          <w:lang w:val="en-GB"/>
        </w:rPr>
        <w:fldChar w:fldCharType="end"/>
      </w:r>
    </w:p>
    <w:p w14:paraId="61EF72B4" w14:textId="77777777" w:rsidR="00426019" w:rsidRPr="007E4EDA" w:rsidRDefault="00426019" w:rsidP="0021410C">
      <w:pPr>
        <w:spacing w:after="80" w:line="360" w:lineRule="auto"/>
        <w:ind w:left="720" w:hanging="720"/>
        <w:rPr>
          <w:sz w:val="24"/>
          <w:szCs w:val="24"/>
          <w:lang w:val="en-GB"/>
        </w:rPr>
      </w:pPr>
    </w:p>
    <w:p w14:paraId="723CC802" w14:textId="77777777" w:rsidR="00667D4A" w:rsidRPr="007E4EDA" w:rsidRDefault="00667D4A" w:rsidP="007C0DA0">
      <w:pPr>
        <w:spacing w:after="80" w:line="360" w:lineRule="auto"/>
        <w:ind w:left="720" w:hanging="720"/>
        <w:rPr>
          <w:sz w:val="24"/>
          <w:szCs w:val="24"/>
          <w:lang w:val="en-GB"/>
        </w:rPr>
      </w:pPr>
    </w:p>
    <w:p w14:paraId="44A47BD9" w14:textId="77777777" w:rsidR="00667D4A" w:rsidRPr="007E4EDA" w:rsidRDefault="00667D4A" w:rsidP="007C0DA0">
      <w:pPr>
        <w:spacing w:after="80" w:line="360" w:lineRule="auto"/>
        <w:ind w:left="720" w:hanging="720"/>
        <w:rPr>
          <w:sz w:val="24"/>
          <w:szCs w:val="24"/>
          <w:lang w:val="en-GB"/>
        </w:rPr>
        <w:sectPr w:rsidR="00667D4A" w:rsidRPr="007E4EDA" w:rsidSect="002B2734">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lnNumType w:countBy="1" w:restart="continuous"/>
          <w:cols w:space="708"/>
          <w:docGrid w:linePitch="360"/>
        </w:sectPr>
      </w:pPr>
    </w:p>
    <w:p w14:paraId="7C7B7489" w14:textId="45D7ECF9" w:rsidR="008440A3" w:rsidRPr="003372B9" w:rsidRDefault="00667D4A" w:rsidP="003372B9">
      <w:pPr>
        <w:jc w:val="both"/>
        <w:rPr>
          <w:sz w:val="22"/>
          <w:szCs w:val="22"/>
          <w:lang w:val="en-GB"/>
        </w:rPr>
      </w:pPr>
      <w:bookmarkStart w:id="1" w:name="_Hlk231386139"/>
      <w:r>
        <w:rPr>
          <w:b/>
          <w:bCs/>
          <w:sz w:val="22"/>
          <w:szCs w:val="22"/>
          <w:lang w:val="en-GB"/>
        </w:rPr>
        <w:lastRenderedPageBreak/>
        <w:t>Table 1.</w:t>
      </w:r>
      <w:r>
        <w:rPr>
          <w:sz w:val="22"/>
          <w:szCs w:val="22"/>
          <w:lang w:val="en-GB"/>
        </w:rPr>
        <w:t xml:space="preserve"> Selectivity (inclusivity) of the ENUMERA®-Coli100 method and ISO 9308-2 reference method, evaluated using 20 coliform strains, including </w:t>
      </w:r>
      <w:r>
        <w:rPr>
          <w:i/>
          <w:iCs/>
          <w:sz w:val="22"/>
          <w:szCs w:val="22"/>
          <w:lang w:val="en-GB"/>
        </w:rPr>
        <w:t>Escherichia coli</w:t>
      </w:r>
      <w:r>
        <w:rPr>
          <w:sz w:val="22"/>
          <w:szCs w:val="22"/>
          <w:lang w:val="en-GB"/>
        </w:rPr>
        <w:t xml:space="preserve"> and non-</w:t>
      </w:r>
      <w:r>
        <w:rPr>
          <w:i/>
          <w:iCs/>
          <w:sz w:val="22"/>
          <w:szCs w:val="22"/>
          <w:lang w:val="en-GB"/>
        </w:rPr>
        <w:t>E. coli</w:t>
      </w:r>
      <w:r>
        <w:rPr>
          <w:sz w:val="22"/>
          <w:szCs w:val="22"/>
          <w:lang w:val="en-GB"/>
        </w:rPr>
        <w:t xml:space="preserve"> coliform species. Results are expressed as positive (+) or negative (−) for total coliform detection (β-galactosidase activity) and </w:t>
      </w:r>
      <w:r>
        <w:rPr>
          <w:i/>
          <w:iCs/>
          <w:sz w:val="22"/>
          <w:szCs w:val="22"/>
          <w:lang w:val="en-GB"/>
        </w:rPr>
        <w:t>E. coli</w:t>
      </w:r>
      <w:r>
        <w:rPr>
          <w:sz w:val="22"/>
          <w:szCs w:val="22"/>
          <w:lang w:val="en-GB"/>
        </w:rPr>
        <w:t xml:space="preserve"> detection (β-D-glucuronidase activity). </w:t>
      </w:r>
      <w:r>
        <w:rPr>
          <w:sz w:val="22"/>
          <w:szCs w:val="22"/>
          <w:lang w:val="es-ES"/>
        </w:rPr>
        <w:t xml:space="preserve">ATCC: American Type Culture Collection. CECT: Colección Española de Cultivos Tipo. MARS: Research group MARS (Microbiologia de l'Aigua Relacionada amb la Salut), University of Barcelona. </w:t>
      </w:r>
      <w:r>
        <w:rPr>
          <w:sz w:val="22"/>
          <w:szCs w:val="22"/>
          <w:lang w:val="en-GB"/>
        </w:rPr>
        <w:t>WDCM: World Data Centre for Microorganisms.</w:t>
      </w:r>
    </w:p>
    <w:tbl>
      <w:tblPr>
        <w:tblW w:w="12631" w:type="dxa"/>
        <w:jc w:val="center"/>
        <w:tblCellMar>
          <w:left w:w="70" w:type="dxa"/>
          <w:right w:w="70" w:type="dxa"/>
        </w:tblCellMar>
        <w:tblLook w:val="04A0" w:firstRow="1" w:lastRow="0" w:firstColumn="1" w:lastColumn="0" w:noHBand="0" w:noVBand="1"/>
      </w:tblPr>
      <w:tblGrid>
        <w:gridCol w:w="3686"/>
        <w:gridCol w:w="2008"/>
        <w:gridCol w:w="792"/>
        <w:gridCol w:w="1950"/>
        <w:gridCol w:w="770"/>
        <w:gridCol w:w="3425"/>
      </w:tblGrid>
      <w:tr w:rsidR="00B84D6A" w:rsidRPr="003372B9" w14:paraId="5C7D5D1E" w14:textId="77777777" w:rsidTr="4F6155F2">
        <w:trPr>
          <w:trHeight w:val="295"/>
          <w:tblHeader/>
          <w:jc w:val="center"/>
        </w:trPr>
        <w:tc>
          <w:tcPr>
            <w:tcW w:w="3686" w:type="dxa"/>
            <w:tcBorders>
              <w:top w:val="nil"/>
              <w:left w:val="nil"/>
              <w:bottom w:val="nil"/>
              <w:right w:val="nil"/>
            </w:tcBorders>
            <w:noWrap/>
            <w:vAlign w:val="bottom"/>
            <w:hideMark/>
          </w:tcPr>
          <w:p w14:paraId="4213027A" w14:textId="77777777" w:rsidR="00B84D6A" w:rsidRPr="003372B9" w:rsidRDefault="00B84D6A" w:rsidP="00B84D6A">
            <w:pPr>
              <w:rPr>
                <w:sz w:val="18"/>
                <w:szCs w:val="18"/>
                <w:lang w:val="en-GB"/>
              </w:rPr>
            </w:pPr>
          </w:p>
        </w:tc>
        <w:tc>
          <w:tcPr>
            <w:tcW w:w="2800" w:type="dxa"/>
            <w:gridSpan w:val="2"/>
            <w:tcBorders>
              <w:top w:val="nil"/>
              <w:left w:val="nil"/>
              <w:bottom w:val="single" w:sz="4" w:space="0" w:color="auto"/>
              <w:right w:val="nil"/>
            </w:tcBorders>
            <w:noWrap/>
            <w:vAlign w:val="bottom"/>
            <w:hideMark/>
          </w:tcPr>
          <w:p w14:paraId="6E52C946" w14:textId="77777777" w:rsidR="00B84D6A" w:rsidRPr="003372B9" w:rsidRDefault="00B84D6A" w:rsidP="00B84D6A">
            <w:pPr>
              <w:jc w:val="center"/>
              <w:rPr>
                <w:b/>
                <w:bCs/>
                <w:color w:val="000000"/>
                <w:sz w:val="18"/>
                <w:szCs w:val="18"/>
                <w:lang w:val="en-GB"/>
              </w:rPr>
            </w:pPr>
            <w:r>
              <w:rPr>
                <w:b/>
                <w:bCs/>
                <w:color w:val="000000"/>
                <w:sz w:val="18"/>
                <w:szCs w:val="18"/>
                <w:lang w:val="en-GB"/>
              </w:rPr>
              <w:t>ENUMERA®-Coli100</w:t>
            </w:r>
          </w:p>
        </w:tc>
        <w:tc>
          <w:tcPr>
            <w:tcW w:w="2720" w:type="dxa"/>
            <w:gridSpan w:val="2"/>
            <w:tcBorders>
              <w:top w:val="nil"/>
              <w:left w:val="nil"/>
              <w:bottom w:val="single" w:sz="4" w:space="0" w:color="auto"/>
              <w:right w:val="nil"/>
            </w:tcBorders>
            <w:noWrap/>
            <w:vAlign w:val="bottom"/>
            <w:hideMark/>
          </w:tcPr>
          <w:p w14:paraId="79008327" w14:textId="072D5658" w:rsidR="00B84D6A" w:rsidRPr="003372B9" w:rsidRDefault="00B5343D" w:rsidP="00B84D6A">
            <w:pPr>
              <w:jc w:val="center"/>
              <w:rPr>
                <w:b/>
                <w:bCs/>
                <w:color w:val="000000"/>
                <w:sz w:val="18"/>
                <w:szCs w:val="18"/>
                <w:lang w:val="en-GB"/>
              </w:rPr>
            </w:pPr>
            <w:r>
              <w:rPr>
                <w:b/>
                <w:bCs/>
                <w:color w:val="000000"/>
                <w:sz w:val="18"/>
                <w:szCs w:val="18"/>
                <w:lang w:val="en-GB"/>
              </w:rPr>
              <w:t>Reference method</w:t>
            </w:r>
          </w:p>
        </w:tc>
        <w:tc>
          <w:tcPr>
            <w:tcW w:w="3425" w:type="dxa"/>
            <w:tcBorders>
              <w:top w:val="nil"/>
              <w:left w:val="nil"/>
              <w:bottom w:val="nil"/>
              <w:right w:val="nil"/>
            </w:tcBorders>
            <w:noWrap/>
            <w:vAlign w:val="bottom"/>
            <w:hideMark/>
          </w:tcPr>
          <w:p w14:paraId="23B471C5" w14:textId="77777777" w:rsidR="00B84D6A" w:rsidRPr="003372B9" w:rsidRDefault="00B84D6A" w:rsidP="00B84D6A">
            <w:pPr>
              <w:jc w:val="center"/>
              <w:rPr>
                <w:b/>
                <w:bCs/>
                <w:color w:val="000000"/>
                <w:sz w:val="18"/>
                <w:szCs w:val="18"/>
                <w:lang w:val="en-GB"/>
              </w:rPr>
            </w:pPr>
          </w:p>
        </w:tc>
      </w:tr>
      <w:tr w:rsidR="00B84D6A" w:rsidRPr="003372B9" w14:paraId="30305DB3" w14:textId="77777777" w:rsidTr="4F6155F2">
        <w:trPr>
          <w:trHeight w:val="295"/>
          <w:tblHeader/>
          <w:jc w:val="center"/>
        </w:trPr>
        <w:tc>
          <w:tcPr>
            <w:tcW w:w="3686" w:type="dxa"/>
            <w:tcBorders>
              <w:top w:val="nil"/>
              <w:left w:val="nil"/>
              <w:bottom w:val="single" w:sz="4" w:space="0" w:color="auto"/>
              <w:right w:val="nil"/>
            </w:tcBorders>
            <w:noWrap/>
            <w:vAlign w:val="bottom"/>
            <w:hideMark/>
          </w:tcPr>
          <w:p w14:paraId="506A3DD6" w14:textId="77777777" w:rsidR="00B84D6A" w:rsidRPr="003372B9" w:rsidRDefault="00B84D6A" w:rsidP="00B5343D">
            <w:pPr>
              <w:jc w:val="center"/>
              <w:rPr>
                <w:b/>
                <w:bCs/>
                <w:color w:val="000000"/>
                <w:sz w:val="18"/>
                <w:szCs w:val="18"/>
                <w:lang w:val="en-GB"/>
              </w:rPr>
            </w:pPr>
            <w:r>
              <w:rPr>
                <w:b/>
                <w:bCs/>
                <w:color w:val="000000"/>
                <w:sz w:val="18"/>
                <w:szCs w:val="18"/>
                <w:lang w:val="en-GB"/>
              </w:rPr>
              <w:t>Strain</w:t>
            </w:r>
          </w:p>
        </w:tc>
        <w:tc>
          <w:tcPr>
            <w:tcW w:w="2008" w:type="dxa"/>
            <w:tcBorders>
              <w:top w:val="single" w:sz="4" w:space="0" w:color="auto"/>
              <w:left w:val="nil"/>
              <w:bottom w:val="single" w:sz="4" w:space="0" w:color="auto"/>
              <w:right w:val="nil"/>
            </w:tcBorders>
            <w:noWrap/>
            <w:vAlign w:val="bottom"/>
            <w:hideMark/>
          </w:tcPr>
          <w:p w14:paraId="16D310D6" w14:textId="77777777" w:rsidR="00B84D6A" w:rsidRPr="003372B9" w:rsidRDefault="00B84D6A" w:rsidP="00B84D6A">
            <w:pPr>
              <w:jc w:val="center"/>
              <w:rPr>
                <w:b/>
                <w:bCs/>
                <w:color w:val="000000"/>
                <w:sz w:val="18"/>
                <w:szCs w:val="18"/>
                <w:lang w:val="en-GB"/>
              </w:rPr>
            </w:pPr>
            <w:r>
              <w:rPr>
                <w:b/>
                <w:bCs/>
                <w:color w:val="000000"/>
                <w:sz w:val="18"/>
                <w:szCs w:val="18"/>
                <w:lang w:val="en-GB"/>
              </w:rPr>
              <w:t>Total Coliforms</w:t>
            </w:r>
          </w:p>
        </w:tc>
        <w:tc>
          <w:tcPr>
            <w:tcW w:w="792" w:type="dxa"/>
            <w:tcBorders>
              <w:top w:val="single" w:sz="4" w:space="0" w:color="auto"/>
              <w:left w:val="nil"/>
              <w:bottom w:val="single" w:sz="4" w:space="0" w:color="auto"/>
              <w:right w:val="nil"/>
            </w:tcBorders>
            <w:noWrap/>
            <w:vAlign w:val="bottom"/>
            <w:hideMark/>
          </w:tcPr>
          <w:p w14:paraId="3A39B045" w14:textId="77777777" w:rsidR="00B84D6A" w:rsidRPr="003372B9" w:rsidRDefault="00B84D6A" w:rsidP="00B84D6A">
            <w:pPr>
              <w:jc w:val="center"/>
              <w:rPr>
                <w:b/>
                <w:bCs/>
                <w:i/>
                <w:iCs/>
                <w:color w:val="000000"/>
                <w:sz w:val="18"/>
                <w:szCs w:val="18"/>
                <w:lang w:val="en-GB"/>
              </w:rPr>
            </w:pPr>
            <w:r>
              <w:rPr>
                <w:b/>
                <w:bCs/>
                <w:i/>
                <w:iCs/>
                <w:color w:val="000000"/>
                <w:sz w:val="18"/>
                <w:szCs w:val="18"/>
                <w:lang w:val="en-GB"/>
              </w:rPr>
              <w:t>E. coli</w:t>
            </w:r>
          </w:p>
        </w:tc>
        <w:tc>
          <w:tcPr>
            <w:tcW w:w="1950" w:type="dxa"/>
            <w:tcBorders>
              <w:top w:val="single" w:sz="4" w:space="0" w:color="auto"/>
              <w:left w:val="nil"/>
              <w:bottom w:val="single" w:sz="4" w:space="0" w:color="auto"/>
              <w:right w:val="nil"/>
            </w:tcBorders>
            <w:noWrap/>
            <w:vAlign w:val="bottom"/>
            <w:hideMark/>
          </w:tcPr>
          <w:p w14:paraId="522C0854" w14:textId="77777777" w:rsidR="00B84D6A" w:rsidRPr="003372B9" w:rsidRDefault="00B84D6A" w:rsidP="00B84D6A">
            <w:pPr>
              <w:jc w:val="center"/>
              <w:rPr>
                <w:b/>
                <w:bCs/>
                <w:color w:val="000000"/>
                <w:sz w:val="18"/>
                <w:szCs w:val="18"/>
                <w:lang w:val="en-GB"/>
              </w:rPr>
            </w:pPr>
            <w:r>
              <w:rPr>
                <w:b/>
                <w:bCs/>
                <w:color w:val="000000"/>
                <w:sz w:val="18"/>
                <w:szCs w:val="18"/>
                <w:lang w:val="en-GB"/>
              </w:rPr>
              <w:t>Total Coliforms</w:t>
            </w:r>
          </w:p>
        </w:tc>
        <w:tc>
          <w:tcPr>
            <w:tcW w:w="770" w:type="dxa"/>
            <w:tcBorders>
              <w:top w:val="single" w:sz="4" w:space="0" w:color="auto"/>
              <w:left w:val="nil"/>
              <w:bottom w:val="single" w:sz="4" w:space="0" w:color="auto"/>
              <w:right w:val="nil"/>
            </w:tcBorders>
            <w:noWrap/>
            <w:vAlign w:val="bottom"/>
            <w:hideMark/>
          </w:tcPr>
          <w:p w14:paraId="7E48605E" w14:textId="77777777" w:rsidR="00B84D6A" w:rsidRPr="003372B9" w:rsidRDefault="00B84D6A" w:rsidP="00B84D6A">
            <w:pPr>
              <w:jc w:val="center"/>
              <w:rPr>
                <w:b/>
                <w:bCs/>
                <w:i/>
                <w:iCs/>
                <w:color w:val="000000"/>
                <w:sz w:val="18"/>
                <w:szCs w:val="18"/>
                <w:lang w:val="en-GB"/>
              </w:rPr>
            </w:pPr>
            <w:r>
              <w:rPr>
                <w:b/>
                <w:bCs/>
                <w:i/>
                <w:iCs/>
                <w:color w:val="000000"/>
                <w:sz w:val="18"/>
                <w:szCs w:val="18"/>
                <w:lang w:val="en-GB"/>
              </w:rPr>
              <w:t>E. coli</w:t>
            </w:r>
          </w:p>
        </w:tc>
        <w:tc>
          <w:tcPr>
            <w:tcW w:w="3425" w:type="dxa"/>
            <w:tcBorders>
              <w:top w:val="nil"/>
              <w:left w:val="nil"/>
              <w:bottom w:val="single" w:sz="4" w:space="0" w:color="auto"/>
              <w:right w:val="nil"/>
            </w:tcBorders>
            <w:noWrap/>
            <w:vAlign w:val="bottom"/>
            <w:hideMark/>
          </w:tcPr>
          <w:p w14:paraId="39A5FEE5" w14:textId="77777777" w:rsidR="00B84D6A" w:rsidRPr="003372B9" w:rsidRDefault="00B84D6A" w:rsidP="00B84D6A">
            <w:pPr>
              <w:jc w:val="center"/>
              <w:rPr>
                <w:b/>
                <w:bCs/>
                <w:i/>
                <w:iCs/>
                <w:color w:val="000000"/>
                <w:sz w:val="18"/>
                <w:szCs w:val="18"/>
                <w:lang w:val="en-GB"/>
              </w:rPr>
            </w:pPr>
            <w:r>
              <w:rPr>
                <w:b/>
                <w:bCs/>
                <w:i/>
                <w:iCs/>
                <w:color w:val="000000"/>
                <w:sz w:val="18"/>
                <w:szCs w:val="18"/>
                <w:lang w:val="en-GB"/>
              </w:rPr>
              <w:t>SOURCE</w:t>
            </w:r>
          </w:p>
        </w:tc>
      </w:tr>
      <w:tr w:rsidR="00B84D6A" w:rsidRPr="003372B9" w14:paraId="66FEA4F9" w14:textId="77777777" w:rsidTr="4F6155F2">
        <w:trPr>
          <w:trHeight w:val="295"/>
          <w:jc w:val="center"/>
        </w:trPr>
        <w:tc>
          <w:tcPr>
            <w:tcW w:w="3686" w:type="dxa"/>
            <w:tcBorders>
              <w:top w:val="nil"/>
              <w:left w:val="nil"/>
              <w:bottom w:val="nil"/>
              <w:right w:val="nil"/>
            </w:tcBorders>
            <w:noWrap/>
            <w:vAlign w:val="bottom"/>
            <w:hideMark/>
          </w:tcPr>
          <w:p w14:paraId="4A8772F2" w14:textId="77777777" w:rsidR="00B84D6A" w:rsidRPr="003372B9" w:rsidRDefault="00B84D6A" w:rsidP="00B5343D">
            <w:pPr>
              <w:rPr>
                <w:i/>
                <w:iCs/>
                <w:sz w:val="18"/>
                <w:szCs w:val="18"/>
                <w:lang w:val="en-GB"/>
              </w:rPr>
            </w:pPr>
            <w:r>
              <w:rPr>
                <w:i/>
                <w:iCs/>
                <w:sz w:val="18"/>
                <w:szCs w:val="18"/>
                <w:lang w:val="en-GB"/>
              </w:rPr>
              <w:t>Citrobacter freundii</w:t>
            </w:r>
          </w:p>
        </w:tc>
        <w:tc>
          <w:tcPr>
            <w:tcW w:w="2008" w:type="dxa"/>
            <w:tcBorders>
              <w:top w:val="nil"/>
              <w:left w:val="nil"/>
              <w:bottom w:val="nil"/>
              <w:right w:val="nil"/>
            </w:tcBorders>
            <w:noWrap/>
            <w:vAlign w:val="bottom"/>
            <w:hideMark/>
          </w:tcPr>
          <w:p w14:paraId="49517C5D" w14:textId="77777777" w:rsidR="00B84D6A" w:rsidRPr="003372B9" w:rsidRDefault="00B84D6A" w:rsidP="00B84D6A">
            <w:pPr>
              <w:jc w:val="center"/>
              <w:rPr>
                <w:color w:val="000000"/>
                <w:sz w:val="18"/>
                <w:szCs w:val="18"/>
                <w:lang w:val="en-GB"/>
              </w:rPr>
            </w:pPr>
            <w:r>
              <w:rPr>
                <w:color w:val="000000"/>
                <w:sz w:val="18"/>
                <w:szCs w:val="18"/>
                <w:lang w:val="en-GB"/>
              </w:rPr>
              <w:t>+</w:t>
            </w:r>
          </w:p>
        </w:tc>
        <w:tc>
          <w:tcPr>
            <w:tcW w:w="792" w:type="dxa"/>
            <w:tcBorders>
              <w:top w:val="nil"/>
              <w:left w:val="nil"/>
              <w:bottom w:val="nil"/>
              <w:right w:val="nil"/>
            </w:tcBorders>
            <w:noWrap/>
            <w:vAlign w:val="bottom"/>
            <w:hideMark/>
          </w:tcPr>
          <w:p w14:paraId="561CDC71" w14:textId="77777777" w:rsidR="00B84D6A" w:rsidRPr="003372B9" w:rsidRDefault="00B84D6A" w:rsidP="00B84D6A">
            <w:pPr>
              <w:jc w:val="center"/>
              <w:rPr>
                <w:color w:val="000000"/>
                <w:sz w:val="18"/>
                <w:szCs w:val="18"/>
                <w:lang w:val="en-GB"/>
              </w:rPr>
            </w:pPr>
            <w:r>
              <w:rPr>
                <w:color w:val="000000"/>
                <w:sz w:val="18"/>
                <w:szCs w:val="18"/>
                <w:lang w:val="en-GB"/>
              </w:rPr>
              <w:t>-</w:t>
            </w:r>
          </w:p>
        </w:tc>
        <w:tc>
          <w:tcPr>
            <w:tcW w:w="1950" w:type="dxa"/>
            <w:tcBorders>
              <w:top w:val="nil"/>
              <w:left w:val="nil"/>
              <w:bottom w:val="nil"/>
              <w:right w:val="nil"/>
            </w:tcBorders>
            <w:noWrap/>
            <w:vAlign w:val="bottom"/>
            <w:hideMark/>
          </w:tcPr>
          <w:p w14:paraId="2C41C108" w14:textId="77777777" w:rsidR="00B84D6A" w:rsidRPr="003372B9" w:rsidRDefault="00B84D6A" w:rsidP="00B84D6A">
            <w:pPr>
              <w:jc w:val="center"/>
              <w:rPr>
                <w:color w:val="000000"/>
                <w:sz w:val="18"/>
                <w:szCs w:val="18"/>
                <w:lang w:val="en-GB"/>
              </w:rPr>
            </w:pPr>
            <w:r>
              <w:rPr>
                <w:color w:val="000000"/>
                <w:sz w:val="18"/>
                <w:szCs w:val="18"/>
                <w:lang w:val="en-GB"/>
              </w:rPr>
              <w:t>+</w:t>
            </w:r>
          </w:p>
        </w:tc>
        <w:tc>
          <w:tcPr>
            <w:tcW w:w="770" w:type="dxa"/>
            <w:tcBorders>
              <w:top w:val="nil"/>
              <w:left w:val="nil"/>
              <w:bottom w:val="nil"/>
              <w:right w:val="nil"/>
            </w:tcBorders>
            <w:noWrap/>
            <w:vAlign w:val="bottom"/>
            <w:hideMark/>
          </w:tcPr>
          <w:p w14:paraId="71970B8C" w14:textId="77777777" w:rsidR="00B84D6A" w:rsidRPr="003372B9" w:rsidRDefault="00B84D6A" w:rsidP="00B84D6A">
            <w:pPr>
              <w:jc w:val="center"/>
              <w:rPr>
                <w:color w:val="000000"/>
                <w:sz w:val="18"/>
                <w:szCs w:val="18"/>
                <w:lang w:val="en-GB"/>
              </w:rPr>
            </w:pPr>
            <w:r>
              <w:rPr>
                <w:color w:val="000000"/>
                <w:sz w:val="18"/>
                <w:szCs w:val="18"/>
                <w:lang w:val="en-GB"/>
              </w:rPr>
              <w:t>-</w:t>
            </w:r>
          </w:p>
        </w:tc>
        <w:tc>
          <w:tcPr>
            <w:tcW w:w="3425" w:type="dxa"/>
            <w:tcBorders>
              <w:top w:val="nil"/>
              <w:left w:val="nil"/>
              <w:bottom w:val="nil"/>
              <w:right w:val="nil"/>
            </w:tcBorders>
            <w:noWrap/>
            <w:vAlign w:val="bottom"/>
            <w:hideMark/>
          </w:tcPr>
          <w:p w14:paraId="4AA2EA2D" w14:textId="103DCDE5" w:rsidR="00B84D6A" w:rsidRPr="003372B9" w:rsidRDefault="006724A4" w:rsidP="00B84D6A">
            <w:pPr>
              <w:rPr>
                <w:sz w:val="18"/>
                <w:szCs w:val="18"/>
                <w:lang w:val="en-GB"/>
              </w:rPr>
            </w:pPr>
            <w:r>
              <w:rPr>
                <w:sz w:val="18"/>
                <w:szCs w:val="18"/>
                <w:lang w:val="en-GB"/>
              </w:rPr>
              <w:fldChar w:fldCharType="begin"/>
            </w:r>
            <w:r>
              <w:rPr>
                <w:sz w:val="18"/>
                <w:szCs w:val="18"/>
                <w:lang w:val="en-GB"/>
              </w:rPr>
              <w:instrText xml:space="preserve"> ADDIN ZOTERO_ITEM CSL_CITATION {"citationID":"H4acbx4W","properties":{"unsorted":false,"formattedCitation":"(Bonjoch and Blanch, 2009)","plainCitation":"(Bonjoch and Blanch, 2009)","noteIndex":0},"citationItems":[{"id":19644,"uris":["http://zotero.org/users/19779089/items/HGH6NVUY"],"itemData":{"id":19644,"type":"article-journal","abstract":"The composition of the most abundant facultative anaerobic bacteria populations [faecal coliforms (FC) and enterococci (ENT)] in sludge can be modified after different treatments. These involve the disposal or reuse of sludge and include: anaerobic digesters, incineration, composting, pasteurization and lime treatments. In this study, three treatment types (mesophilic anaerobic digestion, composting and pasteurization) were compared in terms of their ability to reduce both bacterial populations. The diversity and any changes in composition of main phenotypic groups for both populations were also analyzed. Mesophilic anaerobic digestion (MAD) was carried out at 35A degrees C for 20 days. Digested sludge was then dehydrated by centrifugation at 2,500 rpm. Composting (COM) was performed at 55A degrees C with windrow phases. Pasteurization was assayed at 60A degrees C for 90 min (P60), at 80A degrees C for 60 min (P80). A 1-1.5 log unit reduction was observed for FC, and 1 log unit reduction was noted for ENT by MAD treatment. In composting, this reduction proved higher for FC than for ENT (6 log and 3-4 log units, respectively). Optimal pasteurization was obtained at 80A degrees C for 60 min, resulting in a 5 log unit reduction for FC and a 2 log unit reduction for ENT. High diversity indices (Di) for both bacterial populations were detected both before and after implementation of the different treatments. Analyses of the population's similarity provided that FC were diverse both before and after COM, P60 and P80 treatments. However, no differences were observed on the composition of ENT populations after the different treatments assayed.","citation-key":"bonjochResistanceFaecalColiforms2009","container-title":"MICROBIAL ECOLOGY","DOI":"10.1007/s00248-008-9430-7","ISSN":"0095-3628","issue":"3","language":"english","note":"citation-key: bonjochResistanceFaecalColiforms2009","page":"478–483","title":"Resistance of Faecal Coliforms and Enterococci Populations in Sludge and Biosolids to Different Hygienisation Treatments","volume":"57","author":[{"family":"Bonjoch","given":"X"},{"family":"Blanch","given":"AR"}],"issued":{"date-parts":[["2009",4]]}}}],"schema":"https://github.com/citation-style-language/schema/raw/master/csl-citation.json"} </w:instrText>
            </w:r>
            <w:r>
              <w:rPr>
                <w:sz w:val="18"/>
                <w:szCs w:val="18"/>
                <w:lang w:val="en-GB"/>
              </w:rPr>
              <w:fldChar w:fldCharType="separate"/>
            </w:r>
            <w:r>
              <w:rPr>
                <w:sz w:val="18"/>
                <w:szCs w:val="18"/>
                <w:lang w:val="en-GB"/>
              </w:rPr>
              <w:t>(Bonjoch and Blanch, 2009)</w:t>
            </w:r>
            <w:r>
              <w:rPr>
                <w:sz w:val="18"/>
                <w:szCs w:val="18"/>
                <w:lang w:val="en-GB"/>
              </w:rPr>
              <w:fldChar w:fldCharType="end"/>
            </w:r>
          </w:p>
        </w:tc>
      </w:tr>
      <w:tr w:rsidR="00B84D6A" w:rsidRPr="003372B9" w14:paraId="4D7F5229" w14:textId="77777777" w:rsidTr="4F6155F2">
        <w:trPr>
          <w:trHeight w:val="295"/>
          <w:jc w:val="center"/>
        </w:trPr>
        <w:tc>
          <w:tcPr>
            <w:tcW w:w="3686" w:type="dxa"/>
            <w:tcBorders>
              <w:top w:val="nil"/>
              <w:left w:val="nil"/>
              <w:bottom w:val="nil"/>
              <w:right w:val="nil"/>
            </w:tcBorders>
            <w:noWrap/>
            <w:vAlign w:val="bottom"/>
            <w:hideMark/>
          </w:tcPr>
          <w:p w14:paraId="520BE27C" w14:textId="77777777" w:rsidR="00B84D6A" w:rsidRPr="003372B9" w:rsidRDefault="00B84D6A" w:rsidP="00B5343D">
            <w:pPr>
              <w:rPr>
                <w:i/>
                <w:iCs/>
                <w:color w:val="000000"/>
                <w:sz w:val="18"/>
                <w:szCs w:val="18"/>
                <w:lang w:val="en-GB"/>
              </w:rPr>
            </w:pPr>
            <w:r>
              <w:rPr>
                <w:i/>
                <w:iCs/>
                <w:color w:val="000000"/>
                <w:sz w:val="18"/>
                <w:szCs w:val="18"/>
                <w:lang w:val="en-GB"/>
              </w:rPr>
              <w:t>Enterobacter cloacae</w:t>
            </w:r>
          </w:p>
        </w:tc>
        <w:tc>
          <w:tcPr>
            <w:tcW w:w="2008" w:type="dxa"/>
            <w:tcBorders>
              <w:top w:val="nil"/>
              <w:left w:val="nil"/>
              <w:bottom w:val="nil"/>
              <w:right w:val="nil"/>
            </w:tcBorders>
            <w:noWrap/>
            <w:vAlign w:val="bottom"/>
            <w:hideMark/>
          </w:tcPr>
          <w:p w14:paraId="2CFC9CD1" w14:textId="77777777" w:rsidR="00B84D6A" w:rsidRPr="003372B9" w:rsidRDefault="00B84D6A" w:rsidP="00B84D6A">
            <w:pPr>
              <w:rPr>
                <w:i/>
                <w:iCs/>
                <w:color w:val="000000"/>
                <w:sz w:val="18"/>
                <w:szCs w:val="18"/>
                <w:lang w:val="en-GB"/>
              </w:rPr>
            </w:pPr>
          </w:p>
        </w:tc>
        <w:tc>
          <w:tcPr>
            <w:tcW w:w="792" w:type="dxa"/>
            <w:tcBorders>
              <w:top w:val="nil"/>
              <w:left w:val="nil"/>
              <w:bottom w:val="nil"/>
              <w:right w:val="nil"/>
            </w:tcBorders>
            <w:noWrap/>
            <w:vAlign w:val="bottom"/>
            <w:hideMark/>
          </w:tcPr>
          <w:p w14:paraId="7218DBBC" w14:textId="77777777" w:rsidR="00B84D6A" w:rsidRPr="003372B9" w:rsidRDefault="00B84D6A" w:rsidP="00B84D6A">
            <w:pPr>
              <w:jc w:val="center"/>
              <w:rPr>
                <w:sz w:val="18"/>
                <w:szCs w:val="18"/>
                <w:lang w:val="en-GB"/>
              </w:rPr>
            </w:pPr>
          </w:p>
        </w:tc>
        <w:tc>
          <w:tcPr>
            <w:tcW w:w="1950" w:type="dxa"/>
            <w:tcBorders>
              <w:top w:val="nil"/>
              <w:left w:val="nil"/>
              <w:bottom w:val="nil"/>
              <w:right w:val="nil"/>
            </w:tcBorders>
            <w:noWrap/>
            <w:vAlign w:val="bottom"/>
            <w:hideMark/>
          </w:tcPr>
          <w:p w14:paraId="3EB2A505" w14:textId="77777777" w:rsidR="00B84D6A" w:rsidRPr="003372B9" w:rsidRDefault="00B84D6A" w:rsidP="00B84D6A">
            <w:pPr>
              <w:jc w:val="center"/>
              <w:rPr>
                <w:sz w:val="18"/>
                <w:szCs w:val="18"/>
                <w:lang w:val="en-GB"/>
              </w:rPr>
            </w:pPr>
          </w:p>
        </w:tc>
        <w:tc>
          <w:tcPr>
            <w:tcW w:w="770" w:type="dxa"/>
            <w:tcBorders>
              <w:top w:val="nil"/>
              <w:left w:val="nil"/>
              <w:bottom w:val="nil"/>
              <w:right w:val="nil"/>
            </w:tcBorders>
            <w:noWrap/>
            <w:vAlign w:val="bottom"/>
            <w:hideMark/>
          </w:tcPr>
          <w:p w14:paraId="6671960B" w14:textId="77777777" w:rsidR="00B84D6A" w:rsidRPr="003372B9" w:rsidRDefault="00B84D6A" w:rsidP="00B84D6A">
            <w:pPr>
              <w:jc w:val="center"/>
              <w:rPr>
                <w:sz w:val="18"/>
                <w:szCs w:val="18"/>
                <w:lang w:val="en-GB"/>
              </w:rPr>
            </w:pPr>
          </w:p>
        </w:tc>
        <w:tc>
          <w:tcPr>
            <w:tcW w:w="3425" w:type="dxa"/>
            <w:tcBorders>
              <w:top w:val="nil"/>
              <w:left w:val="nil"/>
              <w:bottom w:val="nil"/>
              <w:right w:val="nil"/>
            </w:tcBorders>
            <w:noWrap/>
            <w:vAlign w:val="bottom"/>
            <w:hideMark/>
          </w:tcPr>
          <w:p w14:paraId="2E960D0C" w14:textId="77777777" w:rsidR="00B84D6A" w:rsidRPr="003372B9" w:rsidRDefault="00B84D6A" w:rsidP="00B84D6A">
            <w:pPr>
              <w:jc w:val="center"/>
              <w:rPr>
                <w:sz w:val="18"/>
                <w:szCs w:val="18"/>
                <w:lang w:val="en-GB"/>
              </w:rPr>
            </w:pPr>
          </w:p>
        </w:tc>
      </w:tr>
      <w:tr w:rsidR="00B84D6A" w:rsidRPr="003372B9" w14:paraId="31E57ABB" w14:textId="77777777" w:rsidTr="4F6155F2">
        <w:trPr>
          <w:trHeight w:val="295"/>
          <w:jc w:val="center"/>
        </w:trPr>
        <w:tc>
          <w:tcPr>
            <w:tcW w:w="3686" w:type="dxa"/>
            <w:tcBorders>
              <w:top w:val="nil"/>
              <w:left w:val="nil"/>
              <w:bottom w:val="nil"/>
              <w:right w:val="nil"/>
            </w:tcBorders>
            <w:noWrap/>
            <w:vAlign w:val="bottom"/>
            <w:hideMark/>
          </w:tcPr>
          <w:p w14:paraId="287FCFB4" w14:textId="77777777" w:rsidR="00B84D6A" w:rsidRPr="003372B9" w:rsidRDefault="00B84D6A" w:rsidP="00B5343D">
            <w:pPr>
              <w:ind w:firstLineChars="100" w:firstLine="180"/>
              <w:rPr>
                <w:i/>
                <w:iCs/>
                <w:sz w:val="18"/>
                <w:szCs w:val="18"/>
                <w:lang w:val="en-GB"/>
              </w:rPr>
            </w:pPr>
            <w:r>
              <w:rPr>
                <w:i/>
                <w:iCs/>
                <w:sz w:val="18"/>
                <w:szCs w:val="18"/>
                <w:lang w:val="en-GB"/>
              </w:rPr>
              <w:t>CTT 10006</w:t>
            </w:r>
          </w:p>
        </w:tc>
        <w:tc>
          <w:tcPr>
            <w:tcW w:w="2008" w:type="dxa"/>
            <w:tcBorders>
              <w:top w:val="nil"/>
              <w:left w:val="nil"/>
              <w:bottom w:val="nil"/>
              <w:right w:val="nil"/>
            </w:tcBorders>
            <w:noWrap/>
            <w:vAlign w:val="bottom"/>
            <w:hideMark/>
          </w:tcPr>
          <w:p w14:paraId="4A4FF9F1" w14:textId="77777777" w:rsidR="00B84D6A" w:rsidRPr="003372B9" w:rsidRDefault="00B84D6A" w:rsidP="00B84D6A">
            <w:pPr>
              <w:jc w:val="center"/>
              <w:rPr>
                <w:color w:val="000000"/>
                <w:sz w:val="18"/>
                <w:szCs w:val="18"/>
                <w:lang w:val="en-GB"/>
              </w:rPr>
            </w:pPr>
            <w:r>
              <w:rPr>
                <w:color w:val="000000"/>
                <w:sz w:val="18"/>
                <w:szCs w:val="18"/>
                <w:lang w:val="en-GB"/>
              </w:rPr>
              <w:t>+</w:t>
            </w:r>
          </w:p>
        </w:tc>
        <w:tc>
          <w:tcPr>
            <w:tcW w:w="792" w:type="dxa"/>
            <w:tcBorders>
              <w:top w:val="nil"/>
              <w:left w:val="nil"/>
              <w:bottom w:val="nil"/>
              <w:right w:val="nil"/>
            </w:tcBorders>
            <w:noWrap/>
            <w:vAlign w:val="bottom"/>
            <w:hideMark/>
          </w:tcPr>
          <w:p w14:paraId="79346C50" w14:textId="77777777" w:rsidR="00B84D6A" w:rsidRPr="003372B9" w:rsidRDefault="00B84D6A" w:rsidP="00B84D6A">
            <w:pPr>
              <w:jc w:val="center"/>
              <w:rPr>
                <w:color w:val="000000"/>
                <w:sz w:val="18"/>
                <w:szCs w:val="18"/>
                <w:lang w:val="en-GB"/>
              </w:rPr>
            </w:pPr>
            <w:r>
              <w:rPr>
                <w:color w:val="000000"/>
                <w:sz w:val="18"/>
                <w:szCs w:val="18"/>
                <w:lang w:val="en-GB"/>
              </w:rPr>
              <w:t>-</w:t>
            </w:r>
          </w:p>
        </w:tc>
        <w:tc>
          <w:tcPr>
            <w:tcW w:w="1950" w:type="dxa"/>
            <w:tcBorders>
              <w:top w:val="nil"/>
              <w:left w:val="nil"/>
              <w:bottom w:val="nil"/>
              <w:right w:val="nil"/>
            </w:tcBorders>
            <w:noWrap/>
            <w:vAlign w:val="bottom"/>
            <w:hideMark/>
          </w:tcPr>
          <w:p w14:paraId="6B2C2A21" w14:textId="77777777" w:rsidR="00B84D6A" w:rsidRPr="003372B9" w:rsidRDefault="00B84D6A" w:rsidP="00B84D6A">
            <w:pPr>
              <w:jc w:val="center"/>
              <w:rPr>
                <w:color w:val="000000"/>
                <w:sz w:val="18"/>
                <w:szCs w:val="18"/>
                <w:lang w:val="en-GB"/>
              </w:rPr>
            </w:pPr>
            <w:r>
              <w:rPr>
                <w:color w:val="000000"/>
                <w:sz w:val="18"/>
                <w:szCs w:val="18"/>
                <w:lang w:val="en-GB"/>
              </w:rPr>
              <w:t>+</w:t>
            </w:r>
          </w:p>
        </w:tc>
        <w:tc>
          <w:tcPr>
            <w:tcW w:w="770" w:type="dxa"/>
            <w:tcBorders>
              <w:top w:val="nil"/>
              <w:left w:val="nil"/>
              <w:bottom w:val="nil"/>
              <w:right w:val="nil"/>
            </w:tcBorders>
            <w:noWrap/>
            <w:vAlign w:val="bottom"/>
            <w:hideMark/>
          </w:tcPr>
          <w:p w14:paraId="18591194" w14:textId="77777777" w:rsidR="00B84D6A" w:rsidRPr="003372B9" w:rsidRDefault="00B84D6A" w:rsidP="00B84D6A">
            <w:pPr>
              <w:jc w:val="center"/>
              <w:rPr>
                <w:color w:val="000000"/>
                <w:sz w:val="18"/>
                <w:szCs w:val="18"/>
                <w:lang w:val="en-GB"/>
              </w:rPr>
            </w:pPr>
            <w:r>
              <w:rPr>
                <w:color w:val="000000"/>
                <w:sz w:val="18"/>
                <w:szCs w:val="18"/>
                <w:lang w:val="en-GB"/>
              </w:rPr>
              <w:t>-</w:t>
            </w:r>
          </w:p>
        </w:tc>
        <w:tc>
          <w:tcPr>
            <w:tcW w:w="3425" w:type="dxa"/>
            <w:tcBorders>
              <w:top w:val="nil"/>
              <w:left w:val="nil"/>
              <w:bottom w:val="nil"/>
              <w:right w:val="nil"/>
            </w:tcBorders>
            <w:noWrap/>
            <w:vAlign w:val="bottom"/>
            <w:hideMark/>
          </w:tcPr>
          <w:p w14:paraId="2C04094C" w14:textId="49222142" w:rsidR="00B84D6A" w:rsidRPr="003372B9" w:rsidRDefault="006724A4" w:rsidP="00B84D6A">
            <w:pPr>
              <w:rPr>
                <w:sz w:val="18"/>
                <w:szCs w:val="18"/>
                <w:lang w:val="en-GB"/>
              </w:rPr>
            </w:pPr>
            <w:r>
              <w:rPr>
                <w:sz w:val="18"/>
                <w:szCs w:val="18"/>
                <w:lang w:val="en-GB"/>
              </w:rPr>
              <w:fldChar w:fldCharType="begin"/>
            </w:r>
            <w:r>
              <w:rPr>
                <w:sz w:val="18"/>
                <w:szCs w:val="18"/>
                <w:lang w:val="en-GB"/>
              </w:rPr>
              <w:instrText xml:space="preserve"> ADDIN ZOTERO_ITEM CSL_CITATION {"citationID":"vZ5366qB","properties":{"unsorted":false,"formattedCitation":"(Bonjoch and Blanch, 2009)","plainCitation":"(Bonjoch and Blanch, 2009)","noteIndex":0},"citationItems":[{"id":19644,"uris":["http://zotero.org/users/19779089/items/HGH6NVUY"],"itemData":{"id":19644,"type":"article-journal","abstract":"The composition of the most abundant facultative anaerobic bacteria populations [faecal coliforms (FC) and enterococci (ENT)] in sludge can be modified after different treatments. These involve the disposal or reuse of sludge and include: anaerobic digesters, incineration, composting, pasteurization and lime treatments. In this study, three treatment types (mesophilic anaerobic digestion, composting and pasteurization) were compared in terms of their ability to reduce both bacterial populations. The diversity and any changes in composition of main phenotypic groups for both populations were also analyzed. Mesophilic anaerobic digestion (MAD) was carried out at 35A degrees C for 20 days. Digested sludge was then dehydrated by centrifugation at 2,500 rpm. Composting (COM) was performed at 55A degrees C with windrow phases. Pasteurization was assayed at 60A degrees C for 90 min (P60), at 80A degrees C for 60 min (P80). A 1-1.5 log unit reduction was observed for FC, and 1 log unit reduction was noted for ENT by MAD treatment. In composting, this reduction proved higher for FC than for ENT (6 log and 3-4 log units, respectively). Optimal pasteurization was obtained at 80A degrees C for 60 min, resulting in a 5 log unit reduction for FC and a 2 log unit reduction for ENT. High diversity indices (Di) for both bacterial populations were detected both before and after implementation of the different treatments. Analyses of the population's similarity provided that FC were diverse both before and after COM, P60 and P80 treatments. However, no differences were observed on the composition of ENT populations after the different treatments assayed.","citation-key":"bonjochResistanceFaecalColiforms2009","container-title":"MICROBIAL ECOLOGY","DOI":"10.1007/s00248-008-9430-7","ISSN":"0095-3628","issue":"3","language":"english","note":"citation-key: bonjochResistanceFaecalColiforms2009","page":"478–483","title":"Resistance of Faecal Coliforms and Enterococci Populations in Sludge and Biosolids to Different Hygienisation Treatments","volume":"57","author":[{"family":"Bonjoch","given":"X"},{"family":"Blanch","given":"AR"}],"issued":{"date-parts":[["2009",4]]}}}],"schema":"https://github.com/citation-style-language/schema/raw/master/csl-citation.json"} </w:instrText>
            </w:r>
            <w:r>
              <w:rPr>
                <w:sz w:val="18"/>
                <w:szCs w:val="18"/>
                <w:lang w:val="en-GB"/>
              </w:rPr>
              <w:fldChar w:fldCharType="separate"/>
            </w:r>
            <w:r>
              <w:rPr>
                <w:sz w:val="18"/>
                <w:szCs w:val="18"/>
                <w:lang w:val="en-GB"/>
              </w:rPr>
              <w:t>(Bonjoch and Blanch, 2009)</w:t>
            </w:r>
            <w:r>
              <w:rPr>
                <w:sz w:val="18"/>
                <w:szCs w:val="18"/>
                <w:lang w:val="en-GB"/>
              </w:rPr>
              <w:fldChar w:fldCharType="end"/>
            </w:r>
          </w:p>
        </w:tc>
      </w:tr>
      <w:tr w:rsidR="00B84D6A" w:rsidRPr="003372B9" w14:paraId="3636CAC3" w14:textId="77777777" w:rsidTr="4F6155F2">
        <w:trPr>
          <w:trHeight w:val="295"/>
          <w:jc w:val="center"/>
        </w:trPr>
        <w:tc>
          <w:tcPr>
            <w:tcW w:w="3686" w:type="dxa"/>
            <w:tcBorders>
              <w:top w:val="nil"/>
              <w:left w:val="nil"/>
              <w:bottom w:val="nil"/>
              <w:right w:val="nil"/>
            </w:tcBorders>
            <w:noWrap/>
            <w:vAlign w:val="bottom"/>
            <w:hideMark/>
          </w:tcPr>
          <w:p w14:paraId="4BA234C5" w14:textId="77777777" w:rsidR="00B84D6A" w:rsidRPr="003372B9" w:rsidRDefault="00B84D6A" w:rsidP="00B5343D">
            <w:pPr>
              <w:ind w:firstLineChars="100" w:firstLine="180"/>
              <w:rPr>
                <w:sz w:val="18"/>
                <w:szCs w:val="18"/>
                <w:lang w:val="en-GB"/>
              </w:rPr>
            </w:pPr>
            <w:r>
              <w:rPr>
                <w:sz w:val="18"/>
                <w:szCs w:val="18"/>
                <w:lang w:val="en-GB"/>
              </w:rPr>
              <w:t>qnrS</w:t>
            </w:r>
          </w:p>
        </w:tc>
        <w:tc>
          <w:tcPr>
            <w:tcW w:w="2008" w:type="dxa"/>
            <w:tcBorders>
              <w:top w:val="nil"/>
              <w:left w:val="nil"/>
              <w:bottom w:val="nil"/>
              <w:right w:val="nil"/>
            </w:tcBorders>
            <w:noWrap/>
            <w:vAlign w:val="bottom"/>
            <w:hideMark/>
          </w:tcPr>
          <w:p w14:paraId="28CF456E" w14:textId="77777777" w:rsidR="00B84D6A" w:rsidRPr="003372B9" w:rsidRDefault="00B84D6A" w:rsidP="00B84D6A">
            <w:pPr>
              <w:jc w:val="center"/>
              <w:rPr>
                <w:color w:val="000000"/>
                <w:sz w:val="18"/>
                <w:szCs w:val="18"/>
                <w:lang w:val="en-GB"/>
              </w:rPr>
            </w:pPr>
            <w:r>
              <w:rPr>
                <w:color w:val="000000"/>
                <w:sz w:val="18"/>
                <w:szCs w:val="18"/>
                <w:lang w:val="en-GB"/>
              </w:rPr>
              <w:t>+</w:t>
            </w:r>
          </w:p>
        </w:tc>
        <w:tc>
          <w:tcPr>
            <w:tcW w:w="792" w:type="dxa"/>
            <w:tcBorders>
              <w:top w:val="nil"/>
              <w:left w:val="nil"/>
              <w:bottom w:val="nil"/>
              <w:right w:val="nil"/>
            </w:tcBorders>
            <w:noWrap/>
            <w:vAlign w:val="bottom"/>
            <w:hideMark/>
          </w:tcPr>
          <w:p w14:paraId="32A75AF6" w14:textId="77777777" w:rsidR="00B84D6A" w:rsidRPr="003372B9" w:rsidRDefault="00B84D6A" w:rsidP="00B84D6A">
            <w:pPr>
              <w:jc w:val="center"/>
              <w:rPr>
                <w:color w:val="000000"/>
                <w:sz w:val="18"/>
                <w:szCs w:val="18"/>
                <w:lang w:val="en-GB"/>
              </w:rPr>
            </w:pPr>
            <w:r>
              <w:rPr>
                <w:color w:val="000000"/>
                <w:sz w:val="18"/>
                <w:szCs w:val="18"/>
                <w:lang w:val="en-GB"/>
              </w:rPr>
              <w:t>-</w:t>
            </w:r>
          </w:p>
        </w:tc>
        <w:tc>
          <w:tcPr>
            <w:tcW w:w="1950" w:type="dxa"/>
            <w:tcBorders>
              <w:top w:val="nil"/>
              <w:left w:val="nil"/>
              <w:bottom w:val="nil"/>
              <w:right w:val="nil"/>
            </w:tcBorders>
            <w:noWrap/>
            <w:vAlign w:val="bottom"/>
            <w:hideMark/>
          </w:tcPr>
          <w:p w14:paraId="59596C94" w14:textId="77777777" w:rsidR="00B84D6A" w:rsidRPr="003372B9" w:rsidRDefault="00B84D6A" w:rsidP="00B84D6A">
            <w:pPr>
              <w:jc w:val="center"/>
              <w:rPr>
                <w:color w:val="000000"/>
                <w:sz w:val="18"/>
                <w:szCs w:val="18"/>
                <w:lang w:val="en-GB"/>
              </w:rPr>
            </w:pPr>
            <w:r>
              <w:rPr>
                <w:color w:val="000000"/>
                <w:sz w:val="18"/>
                <w:szCs w:val="18"/>
                <w:lang w:val="en-GB"/>
              </w:rPr>
              <w:t>+</w:t>
            </w:r>
          </w:p>
        </w:tc>
        <w:tc>
          <w:tcPr>
            <w:tcW w:w="770" w:type="dxa"/>
            <w:tcBorders>
              <w:top w:val="nil"/>
              <w:left w:val="nil"/>
              <w:bottom w:val="nil"/>
              <w:right w:val="nil"/>
            </w:tcBorders>
            <w:noWrap/>
            <w:vAlign w:val="bottom"/>
            <w:hideMark/>
          </w:tcPr>
          <w:p w14:paraId="56A7421B" w14:textId="77777777" w:rsidR="00B84D6A" w:rsidRPr="003372B9" w:rsidRDefault="00B84D6A" w:rsidP="00B84D6A">
            <w:pPr>
              <w:jc w:val="center"/>
              <w:rPr>
                <w:color w:val="000000"/>
                <w:sz w:val="18"/>
                <w:szCs w:val="18"/>
                <w:lang w:val="en-GB"/>
              </w:rPr>
            </w:pPr>
            <w:r>
              <w:rPr>
                <w:color w:val="000000"/>
                <w:sz w:val="18"/>
                <w:szCs w:val="18"/>
                <w:lang w:val="en-GB"/>
              </w:rPr>
              <w:t>-</w:t>
            </w:r>
          </w:p>
        </w:tc>
        <w:tc>
          <w:tcPr>
            <w:tcW w:w="3425" w:type="dxa"/>
            <w:tcBorders>
              <w:top w:val="nil"/>
              <w:left w:val="nil"/>
              <w:bottom w:val="nil"/>
              <w:right w:val="nil"/>
            </w:tcBorders>
            <w:noWrap/>
            <w:vAlign w:val="bottom"/>
            <w:hideMark/>
          </w:tcPr>
          <w:p w14:paraId="699FE591" w14:textId="3D62C89A" w:rsidR="00B84D6A" w:rsidRPr="003372B9" w:rsidRDefault="006724A4" w:rsidP="00B84D6A">
            <w:pPr>
              <w:rPr>
                <w:sz w:val="18"/>
                <w:szCs w:val="18"/>
                <w:lang w:val="en-GB"/>
              </w:rPr>
            </w:pPr>
            <w:r>
              <w:rPr>
                <w:sz w:val="18"/>
                <w:szCs w:val="18"/>
                <w:lang w:val="en-GB"/>
              </w:rPr>
              <w:fldChar w:fldCharType="begin"/>
            </w:r>
            <w:r>
              <w:rPr>
                <w:sz w:val="18"/>
                <w:szCs w:val="18"/>
                <w:lang w:val="en-GB"/>
              </w:rPr>
              <w:instrText xml:space="preserve"> ADDIN ZOTERO_ITEM CSL_CITATION {"citationID":"9O7bTHFO","properties":{"unsorted":false,"formattedCitation":"(Colomer-Lluch et al., 2014)","plainCitation":"(Colomer-Lluch et al., 2014)","noteIndex":0},"citationItems":[{"id":8403,"uris":["http://zotero.org/users/19779089/items/NJ4D7PPF"],"itemData":{"id":8403,"type":"article-journal","abstract":"Objectives: This study quantifies quinolone antibiotic resistance genes (qnrA and qnrS) in DNA of phage particles isolated from faecally polluted waters and evaluates the influence of phage inducers on the abundance of antibiotic resistance genes in packaged DNA. Methods: qnrA and qnrS were quantified by qPCR in DNA of phage particles isolated from 18 raw urban wastewater samples, 18 river samples and 28 archived samples of animal wastewater. The bacterial fraction of the samples was treated with mitomycin C, ciprofloxacin, EDTA or sodium citrate under different conditions, and the number of resistance genes in DNA of phage particles was compared with the non-induced samples. Results: qnrA was more prevalent than qnrS, with 100% of positive samples in urban wastewater and river and 71.4% of positive samples in animal wastewater. Densities of qnrA ranged from 2.3×102 gene copies (GC)/mL in urban wastewater to 7.4×101 GC/mL in animal wastewater. qnrS was detected in 38.9% of urban wastewater samples, in 22.2% of river samples and only in one animal wastewater sample (3.6%). Despite the lower prevalence, qnrS densities reached values of 103 GC/mL. Both qnr genes and other resistance genes assayed (blaTEM and blaCTX-M) showed a significant increase in DNA of phage particles when treated with EDTA or sodium citrate, while mitomycin C and ciprofloxacin showed no effect under the different conditions assayed. Conclusions: This study confirms the contribution of phages to the mobilization of resistance genes and the role of the environment and certain inducers in the spread of antibiotic resistance genes bymeans of phages. © The Author 2014. Published by Oxford University Press on behalf of the British Society for Antimicrobial Chemotherapy. All rights reserved.","citation-key":"colomer-lluchQuinoloneResistanceGenes2014","container-title":"Journal of Antimicrobial Chemotherapy","DOI":"10.1093/jac/dkt528","ISSN":"14602091","issue":"5","note":"citation-key: colomer-lluchQuinoloneResistanceGenes2014","page":"1265-1274","PMID":"24458509","publisher":"Oxford University Press","title":"Quinolone resistance genes (qnrA and qnrS) in bacteriophage particles from wastewater samples and the effect of inducing agents on packaged antibiotic resistance genes","volume":"69","author":[{"family":"Colomer-Lluch","given":"Marta"},{"family":"Jofre","given":"Juan"},{"family":"Muniesa","given":"Maite"}],"issued":{"date-parts":[["2014"]]}}}],"schema":"https://github.com/citation-style-language/schema/raw/master/csl-citation.json"} </w:instrText>
            </w:r>
            <w:r>
              <w:rPr>
                <w:sz w:val="18"/>
                <w:szCs w:val="18"/>
                <w:lang w:val="en-GB"/>
              </w:rPr>
              <w:fldChar w:fldCharType="separate"/>
            </w:r>
            <w:r>
              <w:rPr>
                <w:sz w:val="18"/>
                <w:szCs w:val="18"/>
                <w:lang w:val="en-GB"/>
              </w:rPr>
              <w:t>(Colomer-Lluch et al., 2014)</w:t>
            </w:r>
            <w:r>
              <w:rPr>
                <w:sz w:val="18"/>
                <w:szCs w:val="18"/>
                <w:lang w:val="en-GB"/>
              </w:rPr>
              <w:fldChar w:fldCharType="end"/>
            </w:r>
            <w:r>
              <w:rPr>
                <w:sz w:val="18"/>
                <w:szCs w:val="18"/>
                <w:lang w:val="en-GB"/>
              </w:rPr>
              <w:t xml:space="preserve"> </w:t>
            </w:r>
          </w:p>
        </w:tc>
      </w:tr>
      <w:tr w:rsidR="00B84D6A" w:rsidRPr="003372B9" w14:paraId="29988D6D" w14:textId="77777777" w:rsidTr="4F6155F2">
        <w:trPr>
          <w:trHeight w:val="295"/>
          <w:jc w:val="center"/>
        </w:trPr>
        <w:tc>
          <w:tcPr>
            <w:tcW w:w="3686" w:type="dxa"/>
            <w:tcBorders>
              <w:top w:val="nil"/>
              <w:left w:val="nil"/>
              <w:bottom w:val="nil"/>
              <w:right w:val="nil"/>
            </w:tcBorders>
            <w:noWrap/>
            <w:vAlign w:val="bottom"/>
            <w:hideMark/>
          </w:tcPr>
          <w:p w14:paraId="6F0D6192" w14:textId="77777777" w:rsidR="00B84D6A" w:rsidRPr="003372B9" w:rsidRDefault="00B84D6A" w:rsidP="00B5343D">
            <w:pPr>
              <w:ind w:firstLineChars="100" w:firstLine="180"/>
              <w:rPr>
                <w:sz w:val="18"/>
                <w:szCs w:val="18"/>
                <w:lang w:val="en-GB"/>
              </w:rPr>
            </w:pPr>
            <w:r>
              <w:rPr>
                <w:sz w:val="18"/>
                <w:szCs w:val="18"/>
                <w:lang w:val="en-GB"/>
              </w:rPr>
              <w:t>PBE</w:t>
            </w:r>
          </w:p>
        </w:tc>
        <w:tc>
          <w:tcPr>
            <w:tcW w:w="2008" w:type="dxa"/>
            <w:tcBorders>
              <w:top w:val="nil"/>
              <w:left w:val="nil"/>
              <w:bottom w:val="nil"/>
              <w:right w:val="nil"/>
            </w:tcBorders>
            <w:noWrap/>
            <w:vAlign w:val="bottom"/>
            <w:hideMark/>
          </w:tcPr>
          <w:p w14:paraId="6F6509DC" w14:textId="77777777" w:rsidR="00B84D6A" w:rsidRPr="003372B9" w:rsidRDefault="00B84D6A" w:rsidP="00B84D6A">
            <w:pPr>
              <w:jc w:val="center"/>
              <w:rPr>
                <w:sz w:val="18"/>
                <w:szCs w:val="18"/>
                <w:lang w:val="en-GB"/>
              </w:rPr>
            </w:pPr>
            <w:r>
              <w:rPr>
                <w:sz w:val="18"/>
                <w:szCs w:val="18"/>
                <w:lang w:val="en-GB"/>
              </w:rPr>
              <w:t>+</w:t>
            </w:r>
          </w:p>
        </w:tc>
        <w:tc>
          <w:tcPr>
            <w:tcW w:w="792" w:type="dxa"/>
            <w:tcBorders>
              <w:top w:val="nil"/>
              <w:left w:val="nil"/>
              <w:bottom w:val="nil"/>
              <w:right w:val="nil"/>
            </w:tcBorders>
            <w:noWrap/>
            <w:vAlign w:val="bottom"/>
            <w:hideMark/>
          </w:tcPr>
          <w:p w14:paraId="12382573" w14:textId="77777777" w:rsidR="00B84D6A" w:rsidRPr="003372B9" w:rsidRDefault="00B84D6A" w:rsidP="00B84D6A">
            <w:pPr>
              <w:jc w:val="center"/>
              <w:rPr>
                <w:sz w:val="18"/>
                <w:szCs w:val="18"/>
                <w:lang w:val="en-GB"/>
              </w:rPr>
            </w:pPr>
            <w:r>
              <w:rPr>
                <w:sz w:val="18"/>
                <w:szCs w:val="18"/>
                <w:lang w:val="en-GB"/>
              </w:rPr>
              <w:t>-</w:t>
            </w:r>
          </w:p>
        </w:tc>
        <w:tc>
          <w:tcPr>
            <w:tcW w:w="1950" w:type="dxa"/>
            <w:tcBorders>
              <w:top w:val="nil"/>
              <w:left w:val="nil"/>
              <w:bottom w:val="nil"/>
              <w:right w:val="nil"/>
            </w:tcBorders>
            <w:noWrap/>
            <w:vAlign w:val="bottom"/>
            <w:hideMark/>
          </w:tcPr>
          <w:p w14:paraId="0F016F3E" w14:textId="77777777" w:rsidR="00B84D6A" w:rsidRPr="003372B9" w:rsidRDefault="00B84D6A" w:rsidP="00B84D6A">
            <w:pPr>
              <w:jc w:val="center"/>
              <w:rPr>
                <w:sz w:val="18"/>
                <w:szCs w:val="18"/>
                <w:lang w:val="en-GB"/>
              </w:rPr>
            </w:pPr>
            <w:r>
              <w:rPr>
                <w:sz w:val="18"/>
                <w:szCs w:val="18"/>
                <w:lang w:val="en-GB"/>
              </w:rPr>
              <w:t>+</w:t>
            </w:r>
          </w:p>
        </w:tc>
        <w:tc>
          <w:tcPr>
            <w:tcW w:w="770" w:type="dxa"/>
            <w:tcBorders>
              <w:top w:val="nil"/>
              <w:left w:val="nil"/>
              <w:bottom w:val="nil"/>
              <w:right w:val="nil"/>
            </w:tcBorders>
            <w:noWrap/>
            <w:vAlign w:val="bottom"/>
            <w:hideMark/>
          </w:tcPr>
          <w:p w14:paraId="4515556C" w14:textId="77777777" w:rsidR="00B84D6A" w:rsidRPr="003372B9" w:rsidRDefault="00B84D6A" w:rsidP="00B84D6A">
            <w:pPr>
              <w:jc w:val="center"/>
              <w:rPr>
                <w:sz w:val="18"/>
                <w:szCs w:val="18"/>
                <w:lang w:val="en-GB"/>
              </w:rPr>
            </w:pPr>
            <w:r>
              <w:rPr>
                <w:sz w:val="18"/>
                <w:szCs w:val="18"/>
                <w:lang w:val="en-GB"/>
              </w:rPr>
              <w:t>-</w:t>
            </w:r>
          </w:p>
        </w:tc>
        <w:tc>
          <w:tcPr>
            <w:tcW w:w="3425" w:type="dxa"/>
            <w:tcBorders>
              <w:top w:val="nil"/>
              <w:left w:val="nil"/>
              <w:bottom w:val="nil"/>
              <w:right w:val="nil"/>
            </w:tcBorders>
            <w:noWrap/>
            <w:vAlign w:val="bottom"/>
            <w:hideMark/>
          </w:tcPr>
          <w:p w14:paraId="5E7AD70A" w14:textId="77777777" w:rsidR="00B84D6A" w:rsidRPr="003372B9" w:rsidRDefault="00B84D6A" w:rsidP="00B84D6A">
            <w:pPr>
              <w:rPr>
                <w:sz w:val="18"/>
                <w:szCs w:val="18"/>
                <w:lang w:val="en-GB"/>
              </w:rPr>
            </w:pPr>
            <w:r>
              <w:rPr>
                <w:sz w:val="18"/>
                <w:szCs w:val="18"/>
                <w:lang w:val="en-GB"/>
              </w:rPr>
              <w:t>MARS</w:t>
            </w:r>
          </w:p>
        </w:tc>
      </w:tr>
      <w:tr w:rsidR="00B84D6A" w:rsidRPr="003372B9" w14:paraId="104701BA" w14:textId="77777777" w:rsidTr="4F6155F2">
        <w:trPr>
          <w:trHeight w:val="295"/>
          <w:jc w:val="center"/>
        </w:trPr>
        <w:tc>
          <w:tcPr>
            <w:tcW w:w="3686" w:type="dxa"/>
            <w:tcBorders>
              <w:top w:val="nil"/>
              <w:left w:val="nil"/>
              <w:bottom w:val="nil"/>
              <w:right w:val="nil"/>
            </w:tcBorders>
            <w:noWrap/>
            <w:vAlign w:val="bottom"/>
            <w:hideMark/>
          </w:tcPr>
          <w:p w14:paraId="5C764C90" w14:textId="77777777" w:rsidR="00B84D6A" w:rsidRPr="003372B9" w:rsidRDefault="00B84D6A" w:rsidP="00B5343D">
            <w:pPr>
              <w:rPr>
                <w:i/>
                <w:iCs/>
                <w:color w:val="000000"/>
                <w:sz w:val="18"/>
                <w:szCs w:val="18"/>
                <w:lang w:val="en-GB"/>
              </w:rPr>
            </w:pPr>
            <w:r>
              <w:rPr>
                <w:i/>
                <w:iCs/>
                <w:color w:val="000000"/>
                <w:sz w:val="18"/>
                <w:szCs w:val="18"/>
                <w:lang w:val="en-GB"/>
              </w:rPr>
              <w:t>Escherichia coli</w:t>
            </w:r>
          </w:p>
        </w:tc>
        <w:tc>
          <w:tcPr>
            <w:tcW w:w="2008" w:type="dxa"/>
            <w:tcBorders>
              <w:top w:val="nil"/>
              <w:left w:val="nil"/>
              <w:bottom w:val="nil"/>
              <w:right w:val="nil"/>
            </w:tcBorders>
            <w:noWrap/>
            <w:vAlign w:val="bottom"/>
            <w:hideMark/>
          </w:tcPr>
          <w:p w14:paraId="41641278" w14:textId="77777777" w:rsidR="00B84D6A" w:rsidRPr="003372B9" w:rsidRDefault="00B84D6A" w:rsidP="00B84D6A">
            <w:pPr>
              <w:rPr>
                <w:i/>
                <w:iCs/>
                <w:color w:val="000000"/>
                <w:sz w:val="18"/>
                <w:szCs w:val="18"/>
                <w:lang w:val="en-GB"/>
              </w:rPr>
            </w:pPr>
          </w:p>
        </w:tc>
        <w:tc>
          <w:tcPr>
            <w:tcW w:w="792" w:type="dxa"/>
            <w:tcBorders>
              <w:top w:val="nil"/>
              <w:left w:val="nil"/>
              <w:bottom w:val="nil"/>
              <w:right w:val="nil"/>
            </w:tcBorders>
            <w:noWrap/>
            <w:vAlign w:val="bottom"/>
            <w:hideMark/>
          </w:tcPr>
          <w:p w14:paraId="37255D7C" w14:textId="77777777" w:rsidR="00B84D6A" w:rsidRPr="003372B9" w:rsidRDefault="00B84D6A" w:rsidP="00B84D6A">
            <w:pPr>
              <w:jc w:val="center"/>
              <w:rPr>
                <w:sz w:val="18"/>
                <w:szCs w:val="18"/>
                <w:lang w:val="en-GB"/>
              </w:rPr>
            </w:pPr>
          </w:p>
        </w:tc>
        <w:tc>
          <w:tcPr>
            <w:tcW w:w="1950" w:type="dxa"/>
            <w:tcBorders>
              <w:top w:val="nil"/>
              <w:left w:val="nil"/>
              <w:bottom w:val="nil"/>
              <w:right w:val="nil"/>
            </w:tcBorders>
            <w:noWrap/>
            <w:vAlign w:val="bottom"/>
            <w:hideMark/>
          </w:tcPr>
          <w:p w14:paraId="2F803A5C" w14:textId="77777777" w:rsidR="00B84D6A" w:rsidRPr="003372B9" w:rsidRDefault="00B84D6A" w:rsidP="00B84D6A">
            <w:pPr>
              <w:jc w:val="center"/>
              <w:rPr>
                <w:sz w:val="18"/>
                <w:szCs w:val="18"/>
                <w:lang w:val="en-GB"/>
              </w:rPr>
            </w:pPr>
          </w:p>
        </w:tc>
        <w:tc>
          <w:tcPr>
            <w:tcW w:w="770" w:type="dxa"/>
            <w:tcBorders>
              <w:top w:val="nil"/>
              <w:left w:val="nil"/>
              <w:bottom w:val="nil"/>
              <w:right w:val="nil"/>
            </w:tcBorders>
            <w:noWrap/>
            <w:vAlign w:val="bottom"/>
            <w:hideMark/>
          </w:tcPr>
          <w:p w14:paraId="654BACDE" w14:textId="77777777" w:rsidR="00B84D6A" w:rsidRPr="003372B9" w:rsidRDefault="00B84D6A" w:rsidP="00B84D6A">
            <w:pPr>
              <w:jc w:val="center"/>
              <w:rPr>
                <w:sz w:val="18"/>
                <w:szCs w:val="18"/>
                <w:lang w:val="en-GB"/>
              </w:rPr>
            </w:pPr>
          </w:p>
        </w:tc>
        <w:tc>
          <w:tcPr>
            <w:tcW w:w="3425" w:type="dxa"/>
            <w:tcBorders>
              <w:top w:val="nil"/>
              <w:left w:val="nil"/>
              <w:bottom w:val="nil"/>
              <w:right w:val="nil"/>
            </w:tcBorders>
            <w:noWrap/>
            <w:vAlign w:val="bottom"/>
            <w:hideMark/>
          </w:tcPr>
          <w:p w14:paraId="2333AB80" w14:textId="77777777" w:rsidR="00B84D6A" w:rsidRPr="003372B9" w:rsidRDefault="00B84D6A" w:rsidP="00B84D6A">
            <w:pPr>
              <w:jc w:val="center"/>
              <w:rPr>
                <w:sz w:val="18"/>
                <w:szCs w:val="18"/>
                <w:lang w:val="en-GB"/>
              </w:rPr>
            </w:pPr>
          </w:p>
        </w:tc>
      </w:tr>
      <w:tr w:rsidR="00B84D6A" w:rsidRPr="003372B9" w14:paraId="1545C98E" w14:textId="77777777" w:rsidTr="4F6155F2">
        <w:trPr>
          <w:trHeight w:val="295"/>
          <w:jc w:val="center"/>
        </w:trPr>
        <w:tc>
          <w:tcPr>
            <w:tcW w:w="3686" w:type="dxa"/>
            <w:tcBorders>
              <w:top w:val="nil"/>
              <w:left w:val="nil"/>
              <w:bottom w:val="nil"/>
              <w:right w:val="nil"/>
            </w:tcBorders>
            <w:noWrap/>
            <w:vAlign w:val="bottom"/>
            <w:hideMark/>
          </w:tcPr>
          <w:p w14:paraId="0F1A0734" w14:textId="77777777" w:rsidR="00B84D6A" w:rsidRPr="003372B9" w:rsidRDefault="00B84D6A" w:rsidP="00B5343D">
            <w:pPr>
              <w:ind w:firstLineChars="100" w:firstLine="180"/>
              <w:rPr>
                <w:i/>
                <w:iCs/>
                <w:color w:val="000000"/>
                <w:sz w:val="18"/>
                <w:szCs w:val="18"/>
              </w:rPr>
            </w:pPr>
            <w:r>
              <w:rPr>
                <w:color w:val="000000"/>
                <w:sz w:val="18"/>
                <w:szCs w:val="18"/>
              </w:rPr>
              <w:t>BL21</w:t>
            </w:r>
            <w:r>
              <w:rPr>
                <w:i/>
                <w:iCs/>
                <w:color w:val="000000"/>
                <w:sz w:val="18"/>
                <w:szCs w:val="18"/>
              </w:rPr>
              <w:t xml:space="preserve"> (BL21 ∆BaeSR pCDF-1 ∆cas)</w:t>
            </w:r>
          </w:p>
        </w:tc>
        <w:tc>
          <w:tcPr>
            <w:tcW w:w="2008" w:type="dxa"/>
            <w:tcBorders>
              <w:top w:val="nil"/>
              <w:left w:val="nil"/>
              <w:bottom w:val="nil"/>
              <w:right w:val="nil"/>
            </w:tcBorders>
            <w:noWrap/>
            <w:vAlign w:val="bottom"/>
            <w:hideMark/>
          </w:tcPr>
          <w:p w14:paraId="74930611" w14:textId="77777777" w:rsidR="00B84D6A" w:rsidRPr="003372B9" w:rsidRDefault="00B84D6A" w:rsidP="00B84D6A">
            <w:pPr>
              <w:jc w:val="center"/>
              <w:rPr>
                <w:color w:val="000000"/>
                <w:sz w:val="18"/>
                <w:szCs w:val="18"/>
                <w:lang w:val="en-GB"/>
              </w:rPr>
            </w:pPr>
            <w:r>
              <w:rPr>
                <w:color w:val="000000"/>
                <w:sz w:val="18"/>
                <w:szCs w:val="18"/>
                <w:lang w:val="en-GB"/>
              </w:rPr>
              <w:t>+</w:t>
            </w:r>
          </w:p>
        </w:tc>
        <w:tc>
          <w:tcPr>
            <w:tcW w:w="792" w:type="dxa"/>
            <w:tcBorders>
              <w:top w:val="nil"/>
              <w:left w:val="nil"/>
              <w:bottom w:val="nil"/>
              <w:right w:val="nil"/>
            </w:tcBorders>
            <w:noWrap/>
            <w:vAlign w:val="bottom"/>
            <w:hideMark/>
          </w:tcPr>
          <w:p w14:paraId="475CB283" w14:textId="77777777" w:rsidR="00B84D6A" w:rsidRPr="003372B9" w:rsidRDefault="00B84D6A" w:rsidP="00B84D6A">
            <w:pPr>
              <w:jc w:val="center"/>
              <w:rPr>
                <w:color w:val="000000"/>
                <w:sz w:val="18"/>
                <w:szCs w:val="18"/>
                <w:lang w:val="en-GB"/>
              </w:rPr>
            </w:pPr>
            <w:r>
              <w:rPr>
                <w:color w:val="000000"/>
                <w:sz w:val="18"/>
                <w:szCs w:val="18"/>
                <w:lang w:val="en-GB"/>
              </w:rPr>
              <w:t>+</w:t>
            </w:r>
          </w:p>
        </w:tc>
        <w:tc>
          <w:tcPr>
            <w:tcW w:w="1950" w:type="dxa"/>
            <w:tcBorders>
              <w:top w:val="nil"/>
              <w:left w:val="nil"/>
              <w:bottom w:val="nil"/>
              <w:right w:val="nil"/>
            </w:tcBorders>
            <w:noWrap/>
            <w:vAlign w:val="bottom"/>
            <w:hideMark/>
          </w:tcPr>
          <w:p w14:paraId="4A391AA4" w14:textId="77777777" w:rsidR="00B84D6A" w:rsidRPr="003372B9" w:rsidRDefault="00B84D6A" w:rsidP="00B84D6A">
            <w:pPr>
              <w:jc w:val="center"/>
              <w:rPr>
                <w:color w:val="000000"/>
                <w:sz w:val="18"/>
                <w:szCs w:val="18"/>
                <w:lang w:val="en-GB"/>
              </w:rPr>
            </w:pPr>
            <w:r>
              <w:rPr>
                <w:color w:val="000000"/>
                <w:sz w:val="18"/>
                <w:szCs w:val="18"/>
                <w:lang w:val="en-GB"/>
              </w:rPr>
              <w:t>+</w:t>
            </w:r>
          </w:p>
        </w:tc>
        <w:tc>
          <w:tcPr>
            <w:tcW w:w="770" w:type="dxa"/>
            <w:tcBorders>
              <w:top w:val="nil"/>
              <w:left w:val="nil"/>
              <w:bottom w:val="nil"/>
              <w:right w:val="nil"/>
            </w:tcBorders>
            <w:noWrap/>
            <w:vAlign w:val="bottom"/>
            <w:hideMark/>
          </w:tcPr>
          <w:p w14:paraId="0BBFD142" w14:textId="77777777" w:rsidR="00B84D6A" w:rsidRPr="003372B9" w:rsidRDefault="00B84D6A" w:rsidP="00B84D6A">
            <w:pPr>
              <w:jc w:val="center"/>
              <w:rPr>
                <w:color w:val="000000"/>
                <w:sz w:val="18"/>
                <w:szCs w:val="18"/>
                <w:lang w:val="en-GB"/>
              </w:rPr>
            </w:pPr>
            <w:r>
              <w:rPr>
                <w:color w:val="000000"/>
                <w:sz w:val="18"/>
                <w:szCs w:val="18"/>
                <w:lang w:val="en-GB"/>
              </w:rPr>
              <w:t>+</w:t>
            </w:r>
          </w:p>
        </w:tc>
        <w:tc>
          <w:tcPr>
            <w:tcW w:w="3425" w:type="dxa"/>
            <w:tcBorders>
              <w:top w:val="nil"/>
              <w:left w:val="nil"/>
              <w:bottom w:val="nil"/>
              <w:right w:val="nil"/>
            </w:tcBorders>
            <w:noWrap/>
            <w:vAlign w:val="bottom"/>
            <w:hideMark/>
          </w:tcPr>
          <w:p w14:paraId="58CB95FC" w14:textId="11B69DCE" w:rsidR="00B84D6A" w:rsidRPr="003372B9" w:rsidRDefault="006724A4" w:rsidP="00B84D6A">
            <w:pPr>
              <w:rPr>
                <w:color w:val="000000"/>
                <w:sz w:val="18"/>
                <w:szCs w:val="18"/>
                <w:lang w:val="en-GB"/>
              </w:rPr>
            </w:pPr>
            <w:r>
              <w:rPr>
                <w:color w:val="000000"/>
                <w:sz w:val="18"/>
                <w:szCs w:val="18"/>
                <w:lang w:val="en-GB"/>
              </w:rPr>
              <w:fldChar w:fldCharType="begin"/>
            </w:r>
            <w:r>
              <w:rPr>
                <w:color w:val="000000"/>
                <w:sz w:val="18"/>
                <w:szCs w:val="18"/>
                <w:lang w:val="en-GB"/>
              </w:rPr>
              <w:instrText xml:space="preserve"> ADDIN ZOTERO_ITEM CSL_CITATION {"citationID":"IkIJa1nQ","properties":{"unsorted":false,"formattedCitation":"(Imamovic et al., 2015)","plainCitation":"(Imamovic et al., 2015)","noteIndex":0},"citationItems":[{"id":29343,"uris":["http://zotero.org/users/19779089/items/LX99CZGG"],"itemData":{"id":29343,"type":"article-journal","citation-key":"imamovic2015","container-title":"Infection and Immunity","DOI":"10.1128/IAI.02916-14","issue":"4","note":"citation-key: imamovic2015","page":"1451–1457","PMID":"25624356","PMCID":"PMC4363427","title":"BaeSR, involved in envelope stress response, protects against lysogenic conversion by &lt;span class=\"nocase\"&gt;Shiga toxin 2&lt;/span&gt;-encoding phages","volume":"83","author":[{"family":"Imamovic","given":"L."},{"family":"Martínez-Castillo","given":"A."},{"family":"Benavides","given":"C."},{"family":"Muniesa","given":"M."}],"issued":{"date-parts":[["2015"]]}}}],"schema":"https://github.com/citation-style-language/schema/raw/master/csl-citation.json"} </w:instrText>
            </w:r>
            <w:r>
              <w:rPr>
                <w:color w:val="000000"/>
                <w:sz w:val="18"/>
                <w:szCs w:val="18"/>
                <w:lang w:val="en-GB"/>
              </w:rPr>
              <w:fldChar w:fldCharType="separate"/>
            </w:r>
            <w:r>
              <w:rPr>
                <w:sz w:val="18"/>
                <w:szCs w:val="18"/>
                <w:lang w:val="en-GB"/>
              </w:rPr>
              <w:t>(Imamovic et al., 2015)</w:t>
            </w:r>
            <w:r>
              <w:rPr>
                <w:color w:val="000000"/>
                <w:sz w:val="18"/>
                <w:szCs w:val="18"/>
                <w:lang w:val="en-GB"/>
              </w:rPr>
              <w:fldChar w:fldCharType="end"/>
            </w:r>
          </w:p>
        </w:tc>
      </w:tr>
      <w:tr w:rsidR="00B84D6A" w:rsidRPr="003372B9" w14:paraId="5B08FE38" w14:textId="77777777" w:rsidTr="4F6155F2">
        <w:trPr>
          <w:trHeight w:val="295"/>
          <w:jc w:val="center"/>
        </w:trPr>
        <w:tc>
          <w:tcPr>
            <w:tcW w:w="3686" w:type="dxa"/>
            <w:tcBorders>
              <w:top w:val="nil"/>
              <w:left w:val="nil"/>
              <w:bottom w:val="nil"/>
              <w:right w:val="nil"/>
            </w:tcBorders>
            <w:noWrap/>
            <w:vAlign w:val="bottom"/>
            <w:hideMark/>
          </w:tcPr>
          <w:p w14:paraId="3151FA5E" w14:textId="77777777" w:rsidR="00B84D6A" w:rsidRPr="003372B9" w:rsidRDefault="00B84D6A" w:rsidP="00B5343D">
            <w:pPr>
              <w:ind w:firstLineChars="100" w:firstLine="180"/>
              <w:rPr>
                <w:i/>
                <w:iCs/>
                <w:color w:val="000000"/>
                <w:sz w:val="18"/>
                <w:szCs w:val="18"/>
              </w:rPr>
            </w:pPr>
            <w:r>
              <w:rPr>
                <w:color w:val="000000"/>
                <w:sz w:val="18"/>
                <w:szCs w:val="18"/>
              </w:rPr>
              <w:t>BL21</w:t>
            </w:r>
            <w:r>
              <w:rPr>
                <w:i/>
                <w:iCs/>
                <w:color w:val="000000"/>
                <w:sz w:val="18"/>
                <w:szCs w:val="18"/>
              </w:rPr>
              <w:t xml:space="preserve"> (BL21 ∆BaeSR pGEM-BaeSR)</w:t>
            </w:r>
          </w:p>
        </w:tc>
        <w:tc>
          <w:tcPr>
            <w:tcW w:w="2008" w:type="dxa"/>
            <w:tcBorders>
              <w:top w:val="nil"/>
              <w:left w:val="nil"/>
              <w:bottom w:val="nil"/>
              <w:right w:val="nil"/>
            </w:tcBorders>
            <w:noWrap/>
            <w:vAlign w:val="bottom"/>
            <w:hideMark/>
          </w:tcPr>
          <w:p w14:paraId="30FEC150" w14:textId="77777777" w:rsidR="00B84D6A" w:rsidRPr="003372B9" w:rsidRDefault="00B84D6A" w:rsidP="00B84D6A">
            <w:pPr>
              <w:jc w:val="center"/>
              <w:rPr>
                <w:color w:val="000000"/>
                <w:sz w:val="18"/>
                <w:szCs w:val="18"/>
                <w:lang w:val="en-GB"/>
              </w:rPr>
            </w:pPr>
            <w:r>
              <w:rPr>
                <w:color w:val="000000"/>
                <w:sz w:val="18"/>
                <w:szCs w:val="18"/>
                <w:lang w:val="en-GB"/>
              </w:rPr>
              <w:t>+</w:t>
            </w:r>
          </w:p>
        </w:tc>
        <w:tc>
          <w:tcPr>
            <w:tcW w:w="792" w:type="dxa"/>
            <w:tcBorders>
              <w:top w:val="nil"/>
              <w:left w:val="nil"/>
              <w:bottom w:val="nil"/>
              <w:right w:val="nil"/>
            </w:tcBorders>
            <w:noWrap/>
            <w:vAlign w:val="bottom"/>
            <w:hideMark/>
          </w:tcPr>
          <w:p w14:paraId="384AF9BF" w14:textId="77777777" w:rsidR="00B84D6A" w:rsidRPr="003372B9" w:rsidRDefault="00B84D6A" w:rsidP="00B84D6A">
            <w:pPr>
              <w:jc w:val="center"/>
              <w:rPr>
                <w:color w:val="000000"/>
                <w:sz w:val="18"/>
                <w:szCs w:val="18"/>
                <w:lang w:val="en-GB"/>
              </w:rPr>
            </w:pPr>
            <w:r>
              <w:rPr>
                <w:color w:val="000000"/>
                <w:sz w:val="18"/>
                <w:szCs w:val="18"/>
                <w:lang w:val="en-GB"/>
              </w:rPr>
              <w:t>+</w:t>
            </w:r>
          </w:p>
        </w:tc>
        <w:tc>
          <w:tcPr>
            <w:tcW w:w="1950" w:type="dxa"/>
            <w:tcBorders>
              <w:top w:val="nil"/>
              <w:left w:val="nil"/>
              <w:bottom w:val="nil"/>
              <w:right w:val="nil"/>
            </w:tcBorders>
            <w:noWrap/>
            <w:vAlign w:val="bottom"/>
            <w:hideMark/>
          </w:tcPr>
          <w:p w14:paraId="2F5BEC81" w14:textId="77777777" w:rsidR="00B84D6A" w:rsidRPr="003372B9" w:rsidRDefault="00B84D6A" w:rsidP="00B84D6A">
            <w:pPr>
              <w:jc w:val="center"/>
              <w:rPr>
                <w:color w:val="000000"/>
                <w:sz w:val="18"/>
                <w:szCs w:val="18"/>
                <w:lang w:val="en-GB"/>
              </w:rPr>
            </w:pPr>
            <w:r>
              <w:rPr>
                <w:color w:val="000000"/>
                <w:sz w:val="18"/>
                <w:szCs w:val="18"/>
                <w:lang w:val="en-GB"/>
              </w:rPr>
              <w:t>+</w:t>
            </w:r>
          </w:p>
        </w:tc>
        <w:tc>
          <w:tcPr>
            <w:tcW w:w="770" w:type="dxa"/>
            <w:tcBorders>
              <w:top w:val="nil"/>
              <w:left w:val="nil"/>
              <w:bottom w:val="nil"/>
              <w:right w:val="nil"/>
            </w:tcBorders>
            <w:noWrap/>
            <w:vAlign w:val="bottom"/>
            <w:hideMark/>
          </w:tcPr>
          <w:p w14:paraId="748CDBB7" w14:textId="77777777" w:rsidR="00B84D6A" w:rsidRPr="003372B9" w:rsidRDefault="00B84D6A" w:rsidP="00B84D6A">
            <w:pPr>
              <w:jc w:val="center"/>
              <w:rPr>
                <w:color w:val="000000"/>
                <w:sz w:val="18"/>
                <w:szCs w:val="18"/>
                <w:lang w:val="en-GB"/>
              </w:rPr>
            </w:pPr>
            <w:r>
              <w:rPr>
                <w:color w:val="000000"/>
                <w:sz w:val="18"/>
                <w:szCs w:val="18"/>
                <w:lang w:val="en-GB"/>
              </w:rPr>
              <w:t>+</w:t>
            </w:r>
          </w:p>
        </w:tc>
        <w:tc>
          <w:tcPr>
            <w:tcW w:w="3425" w:type="dxa"/>
            <w:tcBorders>
              <w:top w:val="nil"/>
              <w:left w:val="nil"/>
              <w:bottom w:val="nil"/>
              <w:right w:val="nil"/>
            </w:tcBorders>
            <w:noWrap/>
            <w:vAlign w:val="bottom"/>
            <w:hideMark/>
          </w:tcPr>
          <w:p w14:paraId="5AD5E6ED" w14:textId="502ACEFE" w:rsidR="00B84D6A" w:rsidRPr="003372B9" w:rsidRDefault="006724A4" w:rsidP="00B84D6A">
            <w:pPr>
              <w:rPr>
                <w:color w:val="000000"/>
                <w:sz w:val="18"/>
                <w:szCs w:val="18"/>
                <w:lang w:val="en-GB"/>
              </w:rPr>
            </w:pPr>
            <w:r>
              <w:rPr>
                <w:color w:val="000000"/>
                <w:sz w:val="18"/>
                <w:szCs w:val="18"/>
                <w:lang w:val="en-GB"/>
              </w:rPr>
              <w:fldChar w:fldCharType="begin"/>
            </w:r>
            <w:r>
              <w:rPr>
                <w:color w:val="000000"/>
                <w:sz w:val="18"/>
                <w:szCs w:val="18"/>
                <w:lang w:val="en-GB"/>
              </w:rPr>
              <w:instrText xml:space="preserve"> ADDIN ZOTERO_ITEM CSL_CITATION {"citationID":"QdY5pVUu","properties":{"unsorted":false,"formattedCitation":"(Imamovic et al., 2015)","plainCitation":"(Imamovic et al., 2015)","noteIndex":0},"citationItems":[{"id":29343,"uris":["http://zotero.org/users/19779089/items/LX99CZGG"],"itemData":{"id":29343,"type":"article-journal","citation-key":"imamovic2015","container-title":"Infection and Immunity","DOI":"10.1128/IAI.02916-14","issue":"4","note":"citation-key: imamovic2015","page":"1451–1457","PMID":"25624356","PMCID":"PMC4363427","title":"BaeSR, involved in envelope stress response, protects against lysogenic conversion by &lt;span class=\"nocase\"&gt;Shiga toxin 2&lt;/span&gt;-encoding phages","volume":"83","author":[{"family":"Imamovic","given":"L."},{"family":"Martínez-Castillo","given":"A."},{"family":"Benavides","given":"C."},{"family":"Muniesa","given":"M."}],"issued":{"date-parts":[["2015"]]}}}],"schema":"https://github.com/citation-style-language/schema/raw/master/csl-citation.json"} </w:instrText>
            </w:r>
            <w:r>
              <w:rPr>
                <w:color w:val="000000"/>
                <w:sz w:val="18"/>
                <w:szCs w:val="18"/>
                <w:lang w:val="en-GB"/>
              </w:rPr>
              <w:fldChar w:fldCharType="separate"/>
            </w:r>
            <w:r>
              <w:rPr>
                <w:sz w:val="18"/>
                <w:szCs w:val="18"/>
                <w:lang w:val="en-GB"/>
              </w:rPr>
              <w:t>(Imamovic et al., 2015)</w:t>
            </w:r>
            <w:r>
              <w:rPr>
                <w:color w:val="000000"/>
                <w:sz w:val="18"/>
                <w:szCs w:val="18"/>
                <w:lang w:val="en-GB"/>
              </w:rPr>
              <w:fldChar w:fldCharType="end"/>
            </w:r>
          </w:p>
        </w:tc>
      </w:tr>
      <w:tr w:rsidR="00B84D6A" w:rsidRPr="003372B9" w14:paraId="567C6B5C" w14:textId="77777777" w:rsidTr="4F6155F2">
        <w:trPr>
          <w:trHeight w:val="295"/>
          <w:jc w:val="center"/>
        </w:trPr>
        <w:tc>
          <w:tcPr>
            <w:tcW w:w="3686" w:type="dxa"/>
            <w:tcBorders>
              <w:top w:val="nil"/>
              <w:left w:val="nil"/>
              <w:bottom w:val="nil"/>
              <w:right w:val="nil"/>
            </w:tcBorders>
            <w:noWrap/>
            <w:vAlign w:val="bottom"/>
            <w:hideMark/>
          </w:tcPr>
          <w:p w14:paraId="030D884F" w14:textId="77777777" w:rsidR="00B84D6A" w:rsidRPr="003372B9" w:rsidRDefault="00B84D6A" w:rsidP="00B5343D">
            <w:pPr>
              <w:ind w:firstLineChars="100" w:firstLine="180"/>
              <w:rPr>
                <w:i/>
                <w:iCs/>
                <w:color w:val="000000"/>
                <w:sz w:val="18"/>
                <w:szCs w:val="18"/>
                <w:lang w:val="en-GB"/>
              </w:rPr>
            </w:pPr>
            <w:r>
              <w:rPr>
                <w:color w:val="000000"/>
                <w:sz w:val="18"/>
                <w:szCs w:val="18"/>
                <w:lang w:val="en-GB"/>
              </w:rPr>
              <w:t>BL21</w:t>
            </w:r>
            <w:r>
              <w:rPr>
                <w:i/>
                <w:iCs/>
                <w:color w:val="000000"/>
                <w:sz w:val="18"/>
                <w:szCs w:val="18"/>
                <w:lang w:val="en-GB"/>
              </w:rPr>
              <w:t xml:space="preserve"> (BL21 s  pCDF-1 ∆cas)</w:t>
            </w:r>
          </w:p>
        </w:tc>
        <w:tc>
          <w:tcPr>
            <w:tcW w:w="2008" w:type="dxa"/>
            <w:tcBorders>
              <w:top w:val="nil"/>
              <w:left w:val="nil"/>
              <w:bottom w:val="nil"/>
              <w:right w:val="nil"/>
            </w:tcBorders>
            <w:noWrap/>
            <w:vAlign w:val="bottom"/>
            <w:hideMark/>
          </w:tcPr>
          <w:p w14:paraId="3932E9A2" w14:textId="77777777" w:rsidR="00B84D6A" w:rsidRPr="003372B9" w:rsidRDefault="00B84D6A" w:rsidP="00B84D6A">
            <w:pPr>
              <w:jc w:val="center"/>
              <w:rPr>
                <w:color w:val="000000"/>
                <w:sz w:val="18"/>
                <w:szCs w:val="18"/>
                <w:lang w:val="en-GB"/>
              </w:rPr>
            </w:pPr>
            <w:r>
              <w:rPr>
                <w:color w:val="000000"/>
                <w:sz w:val="18"/>
                <w:szCs w:val="18"/>
                <w:lang w:val="en-GB"/>
              </w:rPr>
              <w:t>+</w:t>
            </w:r>
          </w:p>
        </w:tc>
        <w:tc>
          <w:tcPr>
            <w:tcW w:w="792" w:type="dxa"/>
            <w:tcBorders>
              <w:top w:val="nil"/>
              <w:left w:val="nil"/>
              <w:bottom w:val="nil"/>
              <w:right w:val="nil"/>
            </w:tcBorders>
            <w:noWrap/>
            <w:vAlign w:val="bottom"/>
            <w:hideMark/>
          </w:tcPr>
          <w:p w14:paraId="7139C8C3" w14:textId="77777777" w:rsidR="00B84D6A" w:rsidRPr="003372B9" w:rsidRDefault="00B84D6A" w:rsidP="00B84D6A">
            <w:pPr>
              <w:jc w:val="center"/>
              <w:rPr>
                <w:color w:val="000000"/>
                <w:sz w:val="18"/>
                <w:szCs w:val="18"/>
                <w:lang w:val="en-GB"/>
              </w:rPr>
            </w:pPr>
            <w:r>
              <w:rPr>
                <w:color w:val="000000"/>
                <w:sz w:val="18"/>
                <w:szCs w:val="18"/>
                <w:lang w:val="en-GB"/>
              </w:rPr>
              <w:t>+</w:t>
            </w:r>
          </w:p>
        </w:tc>
        <w:tc>
          <w:tcPr>
            <w:tcW w:w="1950" w:type="dxa"/>
            <w:tcBorders>
              <w:top w:val="nil"/>
              <w:left w:val="nil"/>
              <w:bottom w:val="nil"/>
              <w:right w:val="nil"/>
            </w:tcBorders>
            <w:noWrap/>
            <w:vAlign w:val="bottom"/>
            <w:hideMark/>
          </w:tcPr>
          <w:p w14:paraId="50D7DAAC" w14:textId="77777777" w:rsidR="00B84D6A" w:rsidRPr="003372B9" w:rsidRDefault="00B84D6A" w:rsidP="00B84D6A">
            <w:pPr>
              <w:jc w:val="center"/>
              <w:rPr>
                <w:color w:val="000000"/>
                <w:sz w:val="18"/>
                <w:szCs w:val="18"/>
                <w:lang w:val="en-GB"/>
              </w:rPr>
            </w:pPr>
            <w:r>
              <w:rPr>
                <w:color w:val="000000"/>
                <w:sz w:val="18"/>
                <w:szCs w:val="18"/>
                <w:lang w:val="en-GB"/>
              </w:rPr>
              <w:t>+</w:t>
            </w:r>
          </w:p>
        </w:tc>
        <w:tc>
          <w:tcPr>
            <w:tcW w:w="770" w:type="dxa"/>
            <w:tcBorders>
              <w:top w:val="nil"/>
              <w:left w:val="nil"/>
              <w:bottom w:val="nil"/>
              <w:right w:val="nil"/>
            </w:tcBorders>
            <w:noWrap/>
            <w:vAlign w:val="bottom"/>
            <w:hideMark/>
          </w:tcPr>
          <w:p w14:paraId="03ECDFD1" w14:textId="77777777" w:rsidR="00B84D6A" w:rsidRPr="003372B9" w:rsidRDefault="00B84D6A" w:rsidP="00B84D6A">
            <w:pPr>
              <w:jc w:val="center"/>
              <w:rPr>
                <w:color w:val="000000"/>
                <w:sz w:val="18"/>
                <w:szCs w:val="18"/>
                <w:lang w:val="en-GB"/>
              </w:rPr>
            </w:pPr>
            <w:r>
              <w:rPr>
                <w:color w:val="000000"/>
                <w:sz w:val="18"/>
                <w:szCs w:val="18"/>
                <w:lang w:val="en-GB"/>
              </w:rPr>
              <w:t>+</w:t>
            </w:r>
          </w:p>
        </w:tc>
        <w:tc>
          <w:tcPr>
            <w:tcW w:w="3425" w:type="dxa"/>
            <w:tcBorders>
              <w:top w:val="nil"/>
              <w:left w:val="nil"/>
              <w:bottom w:val="nil"/>
              <w:right w:val="nil"/>
            </w:tcBorders>
            <w:noWrap/>
            <w:vAlign w:val="bottom"/>
            <w:hideMark/>
          </w:tcPr>
          <w:p w14:paraId="3152F48C" w14:textId="1553B63A" w:rsidR="00B84D6A" w:rsidRPr="003372B9" w:rsidRDefault="006724A4" w:rsidP="00B84D6A">
            <w:pPr>
              <w:rPr>
                <w:color w:val="000000"/>
                <w:sz w:val="18"/>
                <w:szCs w:val="18"/>
                <w:lang w:val="en-GB"/>
              </w:rPr>
            </w:pPr>
            <w:r>
              <w:rPr>
                <w:color w:val="000000"/>
                <w:sz w:val="18"/>
                <w:szCs w:val="18"/>
                <w:lang w:val="en-GB"/>
              </w:rPr>
              <w:fldChar w:fldCharType="begin"/>
            </w:r>
            <w:r>
              <w:rPr>
                <w:color w:val="000000"/>
                <w:sz w:val="18"/>
                <w:szCs w:val="18"/>
                <w:lang w:val="en-GB"/>
              </w:rPr>
              <w:instrText xml:space="preserve"> ADDIN ZOTERO_ITEM CSL_CITATION {"citationID":"T3vdjJpu","properties":{"unsorted":false,"formattedCitation":"(Imamovic et al., 2015)","plainCitation":"(Imamovic et al., 2015)","noteIndex":0},"citationItems":[{"id":29343,"uris":["http://zotero.org/users/19779089/items/LX99CZGG"],"itemData":{"id":29343,"type":"article-journal","citation-key":"imamovic2015","container-title":"Infection and Immunity","DOI":"10.1128/IAI.02916-14","issue":"4","note":"citation-key: imamovic2015","page":"1451–1457","PMID":"25624356","PMCID":"PMC4363427","title":"BaeSR, involved in envelope stress response, protects against lysogenic conversion by &lt;span class=\"nocase\"&gt;Shiga toxin 2&lt;/span&gt;-encoding phages","volume":"83","author":[{"family":"Imamovic","given":"L."},{"family":"Martínez-Castillo","given":"A."},{"family":"Benavides","given":"C."},{"family":"Muniesa","given":"M."}],"issued":{"date-parts":[["2015"]]}}}],"schema":"https://github.com/citation-style-language/schema/raw/master/csl-citation.json"} </w:instrText>
            </w:r>
            <w:r>
              <w:rPr>
                <w:color w:val="000000"/>
                <w:sz w:val="18"/>
                <w:szCs w:val="18"/>
                <w:lang w:val="en-GB"/>
              </w:rPr>
              <w:fldChar w:fldCharType="separate"/>
            </w:r>
            <w:r>
              <w:rPr>
                <w:sz w:val="18"/>
                <w:szCs w:val="18"/>
                <w:lang w:val="en-GB"/>
              </w:rPr>
              <w:t>(Imamovic et al., 2015)</w:t>
            </w:r>
            <w:r>
              <w:rPr>
                <w:color w:val="000000"/>
                <w:sz w:val="18"/>
                <w:szCs w:val="18"/>
                <w:lang w:val="en-GB"/>
              </w:rPr>
              <w:fldChar w:fldCharType="end"/>
            </w:r>
          </w:p>
        </w:tc>
      </w:tr>
      <w:tr w:rsidR="00B84D6A" w:rsidRPr="003372B9" w14:paraId="7410E8A7" w14:textId="77777777" w:rsidTr="4F6155F2">
        <w:trPr>
          <w:trHeight w:val="295"/>
          <w:jc w:val="center"/>
        </w:trPr>
        <w:tc>
          <w:tcPr>
            <w:tcW w:w="3686" w:type="dxa"/>
            <w:tcBorders>
              <w:top w:val="nil"/>
              <w:left w:val="nil"/>
              <w:bottom w:val="nil"/>
              <w:right w:val="nil"/>
            </w:tcBorders>
            <w:noWrap/>
            <w:vAlign w:val="bottom"/>
            <w:hideMark/>
          </w:tcPr>
          <w:p w14:paraId="7E2F93B7" w14:textId="77777777" w:rsidR="00B84D6A" w:rsidRPr="003372B9" w:rsidRDefault="00B84D6A" w:rsidP="00B5343D">
            <w:pPr>
              <w:ind w:firstLineChars="100" w:firstLine="180"/>
              <w:rPr>
                <w:i/>
                <w:iCs/>
                <w:color w:val="000000"/>
                <w:sz w:val="18"/>
                <w:szCs w:val="18"/>
                <w:lang w:val="en-GB"/>
              </w:rPr>
            </w:pPr>
            <w:r>
              <w:rPr>
                <w:color w:val="000000"/>
                <w:sz w:val="18"/>
                <w:szCs w:val="18"/>
                <w:lang w:val="en-GB"/>
              </w:rPr>
              <w:t>C600</w:t>
            </w:r>
            <w:r>
              <w:rPr>
                <w:i/>
                <w:iCs/>
                <w:color w:val="000000"/>
                <w:sz w:val="18"/>
                <w:szCs w:val="18"/>
                <w:lang w:val="en-GB"/>
              </w:rPr>
              <w:t xml:space="preserve"> </w:t>
            </w:r>
            <w:r>
              <w:rPr>
                <w:color w:val="000000"/>
                <w:sz w:val="18"/>
                <w:szCs w:val="18"/>
                <w:lang w:val="en-GB"/>
              </w:rPr>
              <w:t>(CECT 106)</w:t>
            </w:r>
          </w:p>
        </w:tc>
        <w:tc>
          <w:tcPr>
            <w:tcW w:w="2008" w:type="dxa"/>
            <w:tcBorders>
              <w:top w:val="nil"/>
              <w:left w:val="nil"/>
              <w:bottom w:val="nil"/>
              <w:right w:val="nil"/>
            </w:tcBorders>
            <w:noWrap/>
            <w:vAlign w:val="bottom"/>
            <w:hideMark/>
          </w:tcPr>
          <w:p w14:paraId="0242D7E2" w14:textId="77777777" w:rsidR="00B84D6A" w:rsidRPr="003372B9" w:rsidRDefault="00B84D6A" w:rsidP="00B84D6A">
            <w:pPr>
              <w:jc w:val="center"/>
              <w:rPr>
                <w:color w:val="000000"/>
                <w:sz w:val="18"/>
                <w:szCs w:val="18"/>
                <w:lang w:val="en-GB"/>
              </w:rPr>
            </w:pPr>
            <w:r>
              <w:rPr>
                <w:color w:val="000000"/>
                <w:sz w:val="18"/>
                <w:szCs w:val="18"/>
                <w:lang w:val="en-GB"/>
              </w:rPr>
              <w:t>+</w:t>
            </w:r>
          </w:p>
        </w:tc>
        <w:tc>
          <w:tcPr>
            <w:tcW w:w="792" w:type="dxa"/>
            <w:tcBorders>
              <w:top w:val="nil"/>
              <w:left w:val="nil"/>
              <w:bottom w:val="nil"/>
              <w:right w:val="nil"/>
            </w:tcBorders>
            <w:noWrap/>
            <w:vAlign w:val="bottom"/>
            <w:hideMark/>
          </w:tcPr>
          <w:p w14:paraId="5960AB14" w14:textId="77777777" w:rsidR="00B84D6A" w:rsidRPr="003372B9" w:rsidRDefault="00B84D6A" w:rsidP="00B84D6A">
            <w:pPr>
              <w:jc w:val="center"/>
              <w:rPr>
                <w:color w:val="000000"/>
                <w:sz w:val="18"/>
                <w:szCs w:val="18"/>
                <w:lang w:val="en-GB"/>
              </w:rPr>
            </w:pPr>
            <w:r>
              <w:rPr>
                <w:color w:val="000000"/>
                <w:sz w:val="18"/>
                <w:szCs w:val="18"/>
                <w:lang w:val="en-GB"/>
              </w:rPr>
              <w:t>+</w:t>
            </w:r>
          </w:p>
        </w:tc>
        <w:tc>
          <w:tcPr>
            <w:tcW w:w="1950" w:type="dxa"/>
            <w:tcBorders>
              <w:top w:val="nil"/>
              <w:left w:val="nil"/>
              <w:bottom w:val="nil"/>
              <w:right w:val="nil"/>
            </w:tcBorders>
            <w:noWrap/>
            <w:vAlign w:val="bottom"/>
            <w:hideMark/>
          </w:tcPr>
          <w:p w14:paraId="6C8FFE06" w14:textId="77777777" w:rsidR="00B84D6A" w:rsidRPr="003372B9" w:rsidRDefault="00B84D6A" w:rsidP="00B84D6A">
            <w:pPr>
              <w:jc w:val="center"/>
              <w:rPr>
                <w:color w:val="000000"/>
                <w:sz w:val="18"/>
                <w:szCs w:val="18"/>
                <w:lang w:val="en-GB"/>
              </w:rPr>
            </w:pPr>
            <w:r>
              <w:rPr>
                <w:color w:val="000000"/>
                <w:sz w:val="18"/>
                <w:szCs w:val="18"/>
                <w:lang w:val="en-GB"/>
              </w:rPr>
              <w:t>+</w:t>
            </w:r>
          </w:p>
        </w:tc>
        <w:tc>
          <w:tcPr>
            <w:tcW w:w="770" w:type="dxa"/>
            <w:tcBorders>
              <w:top w:val="nil"/>
              <w:left w:val="nil"/>
              <w:bottom w:val="nil"/>
              <w:right w:val="nil"/>
            </w:tcBorders>
            <w:noWrap/>
            <w:vAlign w:val="bottom"/>
            <w:hideMark/>
          </w:tcPr>
          <w:p w14:paraId="6B112244" w14:textId="77777777" w:rsidR="00B84D6A" w:rsidRPr="003372B9" w:rsidRDefault="00B84D6A" w:rsidP="00B84D6A">
            <w:pPr>
              <w:jc w:val="center"/>
              <w:rPr>
                <w:color w:val="000000"/>
                <w:sz w:val="18"/>
                <w:szCs w:val="18"/>
                <w:lang w:val="en-GB"/>
              </w:rPr>
            </w:pPr>
            <w:r>
              <w:rPr>
                <w:color w:val="000000"/>
                <w:sz w:val="18"/>
                <w:szCs w:val="18"/>
                <w:lang w:val="en-GB"/>
              </w:rPr>
              <w:t>+</w:t>
            </w:r>
          </w:p>
        </w:tc>
        <w:tc>
          <w:tcPr>
            <w:tcW w:w="3425" w:type="dxa"/>
            <w:tcBorders>
              <w:top w:val="nil"/>
              <w:left w:val="nil"/>
              <w:bottom w:val="nil"/>
              <w:right w:val="nil"/>
            </w:tcBorders>
            <w:noWrap/>
            <w:vAlign w:val="bottom"/>
            <w:hideMark/>
          </w:tcPr>
          <w:p w14:paraId="0B5C6EBC" w14:textId="77777777" w:rsidR="00B84D6A" w:rsidRPr="003372B9" w:rsidRDefault="00B84D6A" w:rsidP="00B84D6A">
            <w:pPr>
              <w:rPr>
                <w:color w:val="000000"/>
                <w:sz w:val="18"/>
                <w:szCs w:val="18"/>
                <w:lang w:val="en-GB"/>
              </w:rPr>
            </w:pPr>
            <w:r>
              <w:rPr>
                <w:color w:val="000000"/>
                <w:sz w:val="18"/>
                <w:szCs w:val="18"/>
                <w:lang w:val="en-GB"/>
              </w:rPr>
              <w:t>CECT</w:t>
            </w:r>
          </w:p>
        </w:tc>
      </w:tr>
      <w:tr w:rsidR="00B84D6A" w:rsidRPr="003372B9" w14:paraId="0CCAF8FA" w14:textId="77777777" w:rsidTr="4F6155F2">
        <w:trPr>
          <w:trHeight w:val="295"/>
          <w:jc w:val="center"/>
        </w:trPr>
        <w:tc>
          <w:tcPr>
            <w:tcW w:w="3686" w:type="dxa"/>
            <w:tcBorders>
              <w:top w:val="nil"/>
              <w:left w:val="nil"/>
              <w:bottom w:val="nil"/>
              <w:right w:val="nil"/>
            </w:tcBorders>
            <w:noWrap/>
            <w:vAlign w:val="bottom"/>
            <w:hideMark/>
          </w:tcPr>
          <w:p w14:paraId="47BA3E03" w14:textId="77777777" w:rsidR="00B84D6A" w:rsidRPr="003372B9" w:rsidRDefault="00B84D6A" w:rsidP="00B5343D">
            <w:pPr>
              <w:ind w:firstLineChars="100" w:firstLine="180"/>
              <w:rPr>
                <w:color w:val="000000"/>
                <w:sz w:val="18"/>
                <w:szCs w:val="18"/>
                <w:lang w:val="en-GB"/>
              </w:rPr>
            </w:pPr>
            <w:r>
              <w:rPr>
                <w:color w:val="000000"/>
                <w:sz w:val="18"/>
                <w:szCs w:val="18"/>
                <w:lang w:val="en-GB"/>
              </w:rPr>
              <w:t>C600 (Lisogen stx:saa)</w:t>
            </w:r>
          </w:p>
        </w:tc>
        <w:tc>
          <w:tcPr>
            <w:tcW w:w="2008" w:type="dxa"/>
            <w:tcBorders>
              <w:top w:val="nil"/>
              <w:left w:val="nil"/>
              <w:bottom w:val="nil"/>
              <w:right w:val="nil"/>
            </w:tcBorders>
            <w:noWrap/>
            <w:vAlign w:val="bottom"/>
            <w:hideMark/>
          </w:tcPr>
          <w:p w14:paraId="4EE9CFEE" w14:textId="77777777" w:rsidR="00B84D6A" w:rsidRPr="003372B9" w:rsidRDefault="00B84D6A" w:rsidP="00B84D6A">
            <w:pPr>
              <w:jc w:val="center"/>
              <w:rPr>
                <w:color w:val="000000"/>
                <w:sz w:val="18"/>
                <w:szCs w:val="18"/>
                <w:lang w:val="en-GB"/>
              </w:rPr>
            </w:pPr>
            <w:r>
              <w:rPr>
                <w:color w:val="000000"/>
                <w:sz w:val="18"/>
                <w:szCs w:val="18"/>
                <w:lang w:val="en-GB"/>
              </w:rPr>
              <w:t>+</w:t>
            </w:r>
          </w:p>
        </w:tc>
        <w:tc>
          <w:tcPr>
            <w:tcW w:w="792" w:type="dxa"/>
            <w:tcBorders>
              <w:top w:val="nil"/>
              <w:left w:val="nil"/>
              <w:bottom w:val="nil"/>
              <w:right w:val="nil"/>
            </w:tcBorders>
            <w:noWrap/>
            <w:vAlign w:val="bottom"/>
            <w:hideMark/>
          </w:tcPr>
          <w:p w14:paraId="7ADACB4D" w14:textId="77777777" w:rsidR="00B84D6A" w:rsidRPr="003372B9" w:rsidRDefault="00B84D6A" w:rsidP="00B84D6A">
            <w:pPr>
              <w:jc w:val="center"/>
              <w:rPr>
                <w:color w:val="000000"/>
                <w:sz w:val="18"/>
                <w:szCs w:val="18"/>
                <w:lang w:val="en-GB"/>
              </w:rPr>
            </w:pPr>
            <w:r>
              <w:rPr>
                <w:color w:val="000000"/>
                <w:sz w:val="18"/>
                <w:szCs w:val="18"/>
                <w:lang w:val="en-GB"/>
              </w:rPr>
              <w:t>+</w:t>
            </w:r>
          </w:p>
        </w:tc>
        <w:tc>
          <w:tcPr>
            <w:tcW w:w="1950" w:type="dxa"/>
            <w:tcBorders>
              <w:top w:val="nil"/>
              <w:left w:val="nil"/>
              <w:bottom w:val="nil"/>
              <w:right w:val="nil"/>
            </w:tcBorders>
            <w:noWrap/>
            <w:vAlign w:val="bottom"/>
            <w:hideMark/>
          </w:tcPr>
          <w:p w14:paraId="36B6541E" w14:textId="77777777" w:rsidR="00B84D6A" w:rsidRPr="003372B9" w:rsidRDefault="00B84D6A" w:rsidP="00B84D6A">
            <w:pPr>
              <w:jc w:val="center"/>
              <w:rPr>
                <w:color w:val="000000"/>
                <w:sz w:val="18"/>
                <w:szCs w:val="18"/>
                <w:lang w:val="en-GB"/>
              </w:rPr>
            </w:pPr>
            <w:r>
              <w:rPr>
                <w:color w:val="000000"/>
                <w:sz w:val="18"/>
                <w:szCs w:val="18"/>
                <w:lang w:val="en-GB"/>
              </w:rPr>
              <w:t>+</w:t>
            </w:r>
          </w:p>
        </w:tc>
        <w:tc>
          <w:tcPr>
            <w:tcW w:w="770" w:type="dxa"/>
            <w:tcBorders>
              <w:top w:val="nil"/>
              <w:left w:val="nil"/>
              <w:bottom w:val="nil"/>
              <w:right w:val="nil"/>
            </w:tcBorders>
            <w:noWrap/>
            <w:vAlign w:val="bottom"/>
            <w:hideMark/>
          </w:tcPr>
          <w:p w14:paraId="0BC5C237" w14:textId="77777777" w:rsidR="00B84D6A" w:rsidRPr="003372B9" w:rsidRDefault="00B84D6A" w:rsidP="00B84D6A">
            <w:pPr>
              <w:jc w:val="center"/>
              <w:rPr>
                <w:color w:val="000000"/>
                <w:sz w:val="18"/>
                <w:szCs w:val="18"/>
                <w:lang w:val="en-GB"/>
              </w:rPr>
            </w:pPr>
            <w:r>
              <w:rPr>
                <w:color w:val="000000"/>
                <w:sz w:val="18"/>
                <w:szCs w:val="18"/>
                <w:lang w:val="en-GB"/>
              </w:rPr>
              <w:t>+</w:t>
            </w:r>
          </w:p>
        </w:tc>
        <w:tc>
          <w:tcPr>
            <w:tcW w:w="3425" w:type="dxa"/>
            <w:tcBorders>
              <w:top w:val="nil"/>
              <w:left w:val="nil"/>
              <w:bottom w:val="nil"/>
              <w:right w:val="nil"/>
            </w:tcBorders>
            <w:noWrap/>
            <w:vAlign w:val="bottom"/>
            <w:hideMark/>
          </w:tcPr>
          <w:p w14:paraId="3CB87E1D" w14:textId="47827B47" w:rsidR="00B84D6A" w:rsidRPr="003372B9" w:rsidRDefault="006724A4" w:rsidP="00B84D6A">
            <w:pPr>
              <w:rPr>
                <w:color w:val="000000"/>
                <w:sz w:val="18"/>
                <w:szCs w:val="18"/>
                <w:lang w:val="en-GB"/>
              </w:rPr>
            </w:pPr>
            <w:r>
              <w:rPr>
                <w:color w:val="000000"/>
                <w:sz w:val="18"/>
                <w:szCs w:val="18"/>
                <w:lang w:val="en-GB"/>
              </w:rPr>
              <w:fldChar w:fldCharType="begin"/>
            </w:r>
            <w:r>
              <w:rPr>
                <w:color w:val="000000"/>
                <w:sz w:val="18"/>
                <w:szCs w:val="18"/>
                <w:lang w:val="en-GB"/>
              </w:rPr>
              <w:instrText xml:space="preserve"> ADDIN ZOTERO_ITEM CSL_CITATION {"citationID":"WGqKnX0J","properties":{"unsorted":false,"formattedCitation":"(Imamovic and Muniesa, 2011)","plainCitation":"(Imamovic and Muniesa, 2011)","noteIndex":0},"citationItems":[{"id":29344,"uris":["http://zotero.org/users/19779089/items/EUQ6K9L9"],"itemData":{"id":29344,"type":"article-journal","citation-key":"imamovic2011","container-title":"Applied and Environmental Microbiology","DOI":"10.1128/AEM.02703-10","issue":"10","note":"citation-key: imamovic2011","page":"3536–3540","PMID":"21441341","PMCID":"PMC3126450","title":"Quantification and evaluation of infectivity of shiga toxin-encoding bacteriophages in beef and salad","volume":"77","author":[{"family":"Imamovic","given":"L."},{"family":"Muniesa","given":"M."}],"issued":{"date-parts":[["2011"]]}}}],"schema":"https://github.com/citation-style-language/schema/raw/master/csl-citation.json"} </w:instrText>
            </w:r>
            <w:r>
              <w:rPr>
                <w:color w:val="000000"/>
                <w:sz w:val="18"/>
                <w:szCs w:val="18"/>
                <w:lang w:val="en-GB"/>
              </w:rPr>
              <w:fldChar w:fldCharType="separate"/>
            </w:r>
            <w:r>
              <w:rPr>
                <w:sz w:val="18"/>
                <w:szCs w:val="18"/>
                <w:lang w:val="en-GB"/>
              </w:rPr>
              <w:t>(Imamovic and Muniesa, 2011)</w:t>
            </w:r>
            <w:r>
              <w:rPr>
                <w:color w:val="000000"/>
                <w:sz w:val="18"/>
                <w:szCs w:val="18"/>
                <w:lang w:val="en-GB"/>
              </w:rPr>
              <w:fldChar w:fldCharType="end"/>
            </w:r>
          </w:p>
        </w:tc>
      </w:tr>
      <w:tr w:rsidR="00B84D6A" w:rsidRPr="003372B9" w14:paraId="5FFFFE8E" w14:textId="77777777" w:rsidTr="4F6155F2">
        <w:trPr>
          <w:trHeight w:val="295"/>
          <w:jc w:val="center"/>
        </w:trPr>
        <w:tc>
          <w:tcPr>
            <w:tcW w:w="3686" w:type="dxa"/>
            <w:tcBorders>
              <w:top w:val="nil"/>
              <w:left w:val="nil"/>
              <w:bottom w:val="nil"/>
              <w:right w:val="nil"/>
            </w:tcBorders>
            <w:noWrap/>
            <w:vAlign w:val="bottom"/>
            <w:hideMark/>
          </w:tcPr>
          <w:p w14:paraId="61BE4B83" w14:textId="77777777" w:rsidR="00B84D6A" w:rsidRPr="003372B9" w:rsidRDefault="00B84D6A" w:rsidP="00B5343D">
            <w:pPr>
              <w:ind w:firstLineChars="100" w:firstLine="180"/>
              <w:rPr>
                <w:color w:val="000000"/>
                <w:sz w:val="18"/>
                <w:szCs w:val="18"/>
                <w:lang w:val="en-GB"/>
              </w:rPr>
            </w:pPr>
            <w:r>
              <w:rPr>
                <w:color w:val="000000"/>
                <w:sz w:val="18"/>
                <w:szCs w:val="18"/>
                <w:lang w:val="en-GB"/>
              </w:rPr>
              <w:t>CECT 434</w:t>
            </w:r>
          </w:p>
        </w:tc>
        <w:tc>
          <w:tcPr>
            <w:tcW w:w="2008" w:type="dxa"/>
            <w:tcBorders>
              <w:top w:val="nil"/>
              <w:left w:val="nil"/>
              <w:bottom w:val="nil"/>
              <w:right w:val="nil"/>
            </w:tcBorders>
            <w:noWrap/>
            <w:vAlign w:val="bottom"/>
            <w:hideMark/>
          </w:tcPr>
          <w:p w14:paraId="5C63BF5F" w14:textId="77777777" w:rsidR="00B84D6A" w:rsidRPr="003372B9" w:rsidRDefault="00B84D6A" w:rsidP="00B84D6A">
            <w:pPr>
              <w:jc w:val="center"/>
              <w:rPr>
                <w:color w:val="000000"/>
                <w:sz w:val="18"/>
                <w:szCs w:val="18"/>
                <w:lang w:val="en-GB"/>
              </w:rPr>
            </w:pPr>
            <w:r>
              <w:rPr>
                <w:color w:val="000000"/>
                <w:sz w:val="18"/>
                <w:szCs w:val="18"/>
                <w:lang w:val="en-GB"/>
              </w:rPr>
              <w:t>+</w:t>
            </w:r>
          </w:p>
        </w:tc>
        <w:tc>
          <w:tcPr>
            <w:tcW w:w="792" w:type="dxa"/>
            <w:tcBorders>
              <w:top w:val="nil"/>
              <w:left w:val="nil"/>
              <w:bottom w:val="nil"/>
              <w:right w:val="nil"/>
            </w:tcBorders>
            <w:noWrap/>
            <w:vAlign w:val="bottom"/>
            <w:hideMark/>
          </w:tcPr>
          <w:p w14:paraId="79B19718" w14:textId="77777777" w:rsidR="00B84D6A" w:rsidRPr="003372B9" w:rsidRDefault="00B84D6A" w:rsidP="00B84D6A">
            <w:pPr>
              <w:jc w:val="center"/>
              <w:rPr>
                <w:color w:val="000000"/>
                <w:sz w:val="18"/>
                <w:szCs w:val="18"/>
                <w:lang w:val="en-GB"/>
              </w:rPr>
            </w:pPr>
            <w:r>
              <w:rPr>
                <w:color w:val="000000"/>
                <w:sz w:val="18"/>
                <w:szCs w:val="18"/>
                <w:lang w:val="en-GB"/>
              </w:rPr>
              <w:t>+</w:t>
            </w:r>
          </w:p>
        </w:tc>
        <w:tc>
          <w:tcPr>
            <w:tcW w:w="1950" w:type="dxa"/>
            <w:tcBorders>
              <w:top w:val="nil"/>
              <w:left w:val="nil"/>
              <w:bottom w:val="nil"/>
              <w:right w:val="nil"/>
            </w:tcBorders>
            <w:noWrap/>
            <w:vAlign w:val="bottom"/>
            <w:hideMark/>
          </w:tcPr>
          <w:p w14:paraId="2CFE7007" w14:textId="77777777" w:rsidR="00B84D6A" w:rsidRPr="003372B9" w:rsidRDefault="00B84D6A" w:rsidP="00B84D6A">
            <w:pPr>
              <w:jc w:val="center"/>
              <w:rPr>
                <w:color w:val="000000"/>
                <w:sz w:val="18"/>
                <w:szCs w:val="18"/>
                <w:lang w:val="en-GB"/>
              </w:rPr>
            </w:pPr>
            <w:r>
              <w:rPr>
                <w:color w:val="000000"/>
                <w:sz w:val="18"/>
                <w:szCs w:val="18"/>
                <w:lang w:val="en-GB"/>
              </w:rPr>
              <w:t>+</w:t>
            </w:r>
          </w:p>
        </w:tc>
        <w:tc>
          <w:tcPr>
            <w:tcW w:w="770" w:type="dxa"/>
            <w:tcBorders>
              <w:top w:val="nil"/>
              <w:left w:val="nil"/>
              <w:bottom w:val="nil"/>
              <w:right w:val="nil"/>
            </w:tcBorders>
            <w:noWrap/>
            <w:vAlign w:val="bottom"/>
            <w:hideMark/>
          </w:tcPr>
          <w:p w14:paraId="381C7D35" w14:textId="77777777" w:rsidR="00B84D6A" w:rsidRPr="003372B9" w:rsidRDefault="00B84D6A" w:rsidP="00B84D6A">
            <w:pPr>
              <w:jc w:val="center"/>
              <w:rPr>
                <w:color w:val="000000"/>
                <w:sz w:val="18"/>
                <w:szCs w:val="18"/>
                <w:lang w:val="en-GB"/>
              </w:rPr>
            </w:pPr>
            <w:r>
              <w:rPr>
                <w:color w:val="000000"/>
                <w:sz w:val="18"/>
                <w:szCs w:val="18"/>
                <w:lang w:val="en-GB"/>
              </w:rPr>
              <w:t>+</w:t>
            </w:r>
          </w:p>
        </w:tc>
        <w:tc>
          <w:tcPr>
            <w:tcW w:w="3425" w:type="dxa"/>
            <w:tcBorders>
              <w:top w:val="nil"/>
              <w:left w:val="nil"/>
              <w:bottom w:val="nil"/>
              <w:right w:val="nil"/>
            </w:tcBorders>
            <w:noWrap/>
            <w:vAlign w:val="bottom"/>
            <w:hideMark/>
          </w:tcPr>
          <w:p w14:paraId="37FC2ABA" w14:textId="77777777" w:rsidR="00B84D6A" w:rsidRPr="003372B9" w:rsidRDefault="00B84D6A" w:rsidP="00B84D6A">
            <w:pPr>
              <w:rPr>
                <w:color w:val="000000"/>
                <w:sz w:val="18"/>
                <w:szCs w:val="18"/>
                <w:lang w:val="en-GB"/>
              </w:rPr>
            </w:pPr>
            <w:r>
              <w:rPr>
                <w:color w:val="000000"/>
                <w:sz w:val="18"/>
                <w:szCs w:val="18"/>
                <w:lang w:val="en-GB"/>
              </w:rPr>
              <w:t>CECT (WDCM 00090)</w:t>
            </w:r>
          </w:p>
        </w:tc>
      </w:tr>
      <w:tr w:rsidR="00B84D6A" w:rsidRPr="003372B9" w14:paraId="15386A29" w14:textId="77777777" w:rsidTr="4F6155F2">
        <w:trPr>
          <w:trHeight w:val="295"/>
          <w:jc w:val="center"/>
        </w:trPr>
        <w:tc>
          <w:tcPr>
            <w:tcW w:w="3686" w:type="dxa"/>
            <w:tcBorders>
              <w:top w:val="nil"/>
              <w:left w:val="nil"/>
              <w:bottom w:val="nil"/>
              <w:right w:val="nil"/>
            </w:tcBorders>
            <w:noWrap/>
            <w:vAlign w:val="bottom"/>
            <w:hideMark/>
          </w:tcPr>
          <w:p w14:paraId="7AD57762" w14:textId="77777777" w:rsidR="00B84D6A" w:rsidRPr="003372B9" w:rsidRDefault="00B84D6A" w:rsidP="00B5343D">
            <w:pPr>
              <w:ind w:firstLineChars="100" w:firstLine="180"/>
              <w:rPr>
                <w:color w:val="000000"/>
                <w:sz w:val="18"/>
                <w:szCs w:val="18"/>
                <w:lang w:val="en-GB"/>
              </w:rPr>
            </w:pPr>
            <w:r>
              <w:rPr>
                <w:color w:val="000000"/>
                <w:sz w:val="18"/>
                <w:szCs w:val="18"/>
                <w:lang w:val="en-GB"/>
              </w:rPr>
              <w:t>CECT 515</w:t>
            </w:r>
          </w:p>
        </w:tc>
        <w:tc>
          <w:tcPr>
            <w:tcW w:w="2008" w:type="dxa"/>
            <w:tcBorders>
              <w:top w:val="nil"/>
              <w:left w:val="nil"/>
              <w:bottom w:val="nil"/>
              <w:right w:val="nil"/>
            </w:tcBorders>
            <w:noWrap/>
            <w:vAlign w:val="bottom"/>
            <w:hideMark/>
          </w:tcPr>
          <w:p w14:paraId="6A51D6B9" w14:textId="77777777" w:rsidR="00B84D6A" w:rsidRPr="003372B9" w:rsidRDefault="00B84D6A" w:rsidP="00B84D6A">
            <w:pPr>
              <w:jc w:val="center"/>
              <w:rPr>
                <w:color w:val="000000"/>
                <w:sz w:val="18"/>
                <w:szCs w:val="18"/>
                <w:lang w:val="en-GB"/>
              </w:rPr>
            </w:pPr>
            <w:r>
              <w:rPr>
                <w:color w:val="000000"/>
                <w:sz w:val="18"/>
                <w:szCs w:val="18"/>
                <w:lang w:val="en-GB"/>
              </w:rPr>
              <w:t>+</w:t>
            </w:r>
          </w:p>
        </w:tc>
        <w:tc>
          <w:tcPr>
            <w:tcW w:w="792" w:type="dxa"/>
            <w:tcBorders>
              <w:top w:val="nil"/>
              <w:left w:val="nil"/>
              <w:bottom w:val="nil"/>
              <w:right w:val="nil"/>
            </w:tcBorders>
            <w:noWrap/>
            <w:vAlign w:val="bottom"/>
            <w:hideMark/>
          </w:tcPr>
          <w:p w14:paraId="60A7553E" w14:textId="77777777" w:rsidR="00B84D6A" w:rsidRPr="003372B9" w:rsidRDefault="00B84D6A" w:rsidP="00B84D6A">
            <w:pPr>
              <w:jc w:val="center"/>
              <w:rPr>
                <w:color w:val="000000"/>
                <w:sz w:val="18"/>
                <w:szCs w:val="18"/>
                <w:lang w:val="en-GB"/>
              </w:rPr>
            </w:pPr>
            <w:r>
              <w:rPr>
                <w:color w:val="000000"/>
                <w:sz w:val="18"/>
                <w:szCs w:val="18"/>
                <w:lang w:val="en-GB"/>
              </w:rPr>
              <w:t>+</w:t>
            </w:r>
          </w:p>
        </w:tc>
        <w:tc>
          <w:tcPr>
            <w:tcW w:w="1950" w:type="dxa"/>
            <w:tcBorders>
              <w:top w:val="nil"/>
              <w:left w:val="nil"/>
              <w:bottom w:val="nil"/>
              <w:right w:val="nil"/>
            </w:tcBorders>
            <w:noWrap/>
            <w:vAlign w:val="bottom"/>
            <w:hideMark/>
          </w:tcPr>
          <w:p w14:paraId="0E7E03CB" w14:textId="77777777" w:rsidR="00B84D6A" w:rsidRPr="003372B9" w:rsidRDefault="00B84D6A" w:rsidP="00B84D6A">
            <w:pPr>
              <w:jc w:val="center"/>
              <w:rPr>
                <w:color w:val="000000"/>
                <w:sz w:val="18"/>
                <w:szCs w:val="18"/>
                <w:lang w:val="en-GB"/>
              </w:rPr>
            </w:pPr>
            <w:r>
              <w:rPr>
                <w:color w:val="000000"/>
                <w:sz w:val="18"/>
                <w:szCs w:val="18"/>
                <w:lang w:val="en-GB"/>
              </w:rPr>
              <w:t>+</w:t>
            </w:r>
          </w:p>
        </w:tc>
        <w:tc>
          <w:tcPr>
            <w:tcW w:w="770" w:type="dxa"/>
            <w:tcBorders>
              <w:top w:val="nil"/>
              <w:left w:val="nil"/>
              <w:bottom w:val="nil"/>
              <w:right w:val="nil"/>
            </w:tcBorders>
            <w:noWrap/>
            <w:vAlign w:val="bottom"/>
            <w:hideMark/>
          </w:tcPr>
          <w:p w14:paraId="1364352D" w14:textId="77777777" w:rsidR="00B84D6A" w:rsidRPr="003372B9" w:rsidRDefault="00B84D6A" w:rsidP="00B84D6A">
            <w:pPr>
              <w:jc w:val="center"/>
              <w:rPr>
                <w:color w:val="000000"/>
                <w:sz w:val="18"/>
                <w:szCs w:val="18"/>
                <w:lang w:val="en-GB"/>
              </w:rPr>
            </w:pPr>
            <w:r>
              <w:rPr>
                <w:color w:val="000000"/>
                <w:sz w:val="18"/>
                <w:szCs w:val="18"/>
                <w:lang w:val="en-GB"/>
              </w:rPr>
              <w:t>+</w:t>
            </w:r>
          </w:p>
        </w:tc>
        <w:tc>
          <w:tcPr>
            <w:tcW w:w="3425" w:type="dxa"/>
            <w:tcBorders>
              <w:top w:val="nil"/>
              <w:left w:val="nil"/>
              <w:bottom w:val="nil"/>
              <w:right w:val="nil"/>
            </w:tcBorders>
            <w:noWrap/>
            <w:vAlign w:val="bottom"/>
            <w:hideMark/>
          </w:tcPr>
          <w:p w14:paraId="0658BC31" w14:textId="77777777" w:rsidR="00B84D6A" w:rsidRPr="003372B9" w:rsidRDefault="00B84D6A" w:rsidP="00B84D6A">
            <w:pPr>
              <w:rPr>
                <w:color w:val="000000"/>
                <w:sz w:val="18"/>
                <w:szCs w:val="18"/>
                <w:lang w:val="en-GB"/>
              </w:rPr>
            </w:pPr>
            <w:r>
              <w:rPr>
                <w:color w:val="000000"/>
                <w:sz w:val="18"/>
                <w:szCs w:val="18"/>
                <w:lang w:val="en-GB"/>
              </w:rPr>
              <w:t>CECT (WDCM 00013)</w:t>
            </w:r>
          </w:p>
        </w:tc>
      </w:tr>
      <w:tr w:rsidR="00B84D6A" w:rsidRPr="003372B9" w14:paraId="606C77DA" w14:textId="77777777" w:rsidTr="4F6155F2">
        <w:trPr>
          <w:trHeight w:val="295"/>
          <w:jc w:val="center"/>
        </w:trPr>
        <w:tc>
          <w:tcPr>
            <w:tcW w:w="3686" w:type="dxa"/>
            <w:tcBorders>
              <w:top w:val="nil"/>
              <w:left w:val="nil"/>
              <w:bottom w:val="nil"/>
              <w:right w:val="nil"/>
            </w:tcBorders>
            <w:noWrap/>
            <w:vAlign w:val="bottom"/>
            <w:hideMark/>
          </w:tcPr>
          <w:p w14:paraId="304D6FE0" w14:textId="77777777" w:rsidR="00B84D6A" w:rsidRPr="003372B9" w:rsidRDefault="00B84D6A" w:rsidP="00B5343D">
            <w:pPr>
              <w:ind w:firstLineChars="100" w:firstLine="180"/>
              <w:rPr>
                <w:sz w:val="18"/>
                <w:szCs w:val="18"/>
                <w:lang w:val="en-GB"/>
              </w:rPr>
            </w:pPr>
            <w:r>
              <w:rPr>
                <w:sz w:val="18"/>
                <w:szCs w:val="18"/>
                <w:lang w:val="en-GB"/>
              </w:rPr>
              <w:t>CN13</w:t>
            </w:r>
          </w:p>
        </w:tc>
        <w:tc>
          <w:tcPr>
            <w:tcW w:w="2008" w:type="dxa"/>
            <w:tcBorders>
              <w:top w:val="nil"/>
              <w:left w:val="nil"/>
              <w:bottom w:val="nil"/>
              <w:right w:val="nil"/>
            </w:tcBorders>
            <w:noWrap/>
            <w:vAlign w:val="bottom"/>
            <w:hideMark/>
          </w:tcPr>
          <w:p w14:paraId="25C9BB12" w14:textId="77777777" w:rsidR="00B84D6A" w:rsidRPr="003372B9" w:rsidRDefault="00B84D6A" w:rsidP="00B84D6A">
            <w:pPr>
              <w:jc w:val="center"/>
              <w:rPr>
                <w:color w:val="000000"/>
                <w:sz w:val="18"/>
                <w:szCs w:val="18"/>
                <w:lang w:val="en-GB"/>
              </w:rPr>
            </w:pPr>
            <w:r>
              <w:rPr>
                <w:color w:val="000000"/>
                <w:sz w:val="18"/>
                <w:szCs w:val="18"/>
                <w:lang w:val="en-GB"/>
              </w:rPr>
              <w:t>+</w:t>
            </w:r>
          </w:p>
        </w:tc>
        <w:tc>
          <w:tcPr>
            <w:tcW w:w="792" w:type="dxa"/>
            <w:tcBorders>
              <w:top w:val="nil"/>
              <w:left w:val="nil"/>
              <w:bottom w:val="nil"/>
              <w:right w:val="nil"/>
            </w:tcBorders>
            <w:noWrap/>
            <w:vAlign w:val="bottom"/>
            <w:hideMark/>
          </w:tcPr>
          <w:p w14:paraId="471A5B15" w14:textId="77777777" w:rsidR="00B84D6A" w:rsidRPr="003372B9" w:rsidRDefault="00B84D6A" w:rsidP="00B84D6A">
            <w:pPr>
              <w:jc w:val="center"/>
              <w:rPr>
                <w:color w:val="000000"/>
                <w:sz w:val="18"/>
                <w:szCs w:val="18"/>
                <w:lang w:val="en-GB"/>
              </w:rPr>
            </w:pPr>
            <w:r>
              <w:rPr>
                <w:color w:val="000000"/>
                <w:sz w:val="18"/>
                <w:szCs w:val="18"/>
                <w:lang w:val="en-GB"/>
              </w:rPr>
              <w:t>+</w:t>
            </w:r>
          </w:p>
        </w:tc>
        <w:tc>
          <w:tcPr>
            <w:tcW w:w="1950" w:type="dxa"/>
            <w:tcBorders>
              <w:top w:val="nil"/>
              <w:left w:val="nil"/>
              <w:bottom w:val="nil"/>
              <w:right w:val="nil"/>
            </w:tcBorders>
            <w:noWrap/>
            <w:vAlign w:val="bottom"/>
            <w:hideMark/>
          </w:tcPr>
          <w:p w14:paraId="592521A6" w14:textId="77777777" w:rsidR="00B84D6A" w:rsidRPr="003372B9" w:rsidRDefault="00B84D6A" w:rsidP="00B84D6A">
            <w:pPr>
              <w:jc w:val="center"/>
              <w:rPr>
                <w:color w:val="000000"/>
                <w:sz w:val="18"/>
                <w:szCs w:val="18"/>
                <w:lang w:val="en-GB"/>
              </w:rPr>
            </w:pPr>
            <w:r>
              <w:rPr>
                <w:color w:val="000000"/>
                <w:sz w:val="18"/>
                <w:szCs w:val="18"/>
                <w:lang w:val="en-GB"/>
              </w:rPr>
              <w:t>+</w:t>
            </w:r>
          </w:p>
        </w:tc>
        <w:tc>
          <w:tcPr>
            <w:tcW w:w="770" w:type="dxa"/>
            <w:tcBorders>
              <w:top w:val="nil"/>
              <w:left w:val="nil"/>
              <w:bottom w:val="nil"/>
              <w:right w:val="nil"/>
            </w:tcBorders>
            <w:noWrap/>
            <w:vAlign w:val="bottom"/>
            <w:hideMark/>
          </w:tcPr>
          <w:p w14:paraId="0088C22A" w14:textId="77777777" w:rsidR="00B84D6A" w:rsidRPr="003372B9" w:rsidRDefault="00B84D6A" w:rsidP="00B84D6A">
            <w:pPr>
              <w:jc w:val="center"/>
              <w:rPr>
                <w:color w:val="000000"/>
                <w:sz w:val="18"/>
                <w:szCs w:val="18"/>
                <w:lang w:val="en-GB"/>
              </w:rPr>
            </w:pPr>
            <w:r>
              <w:rPr>
                <w:color w:val="000000"/>
                <w:sz w:val="18"/>
                <w:szCs w:val="18"/>
                <w:lang w:val="en-GB"/>
              </w:rPr>
              <w:t>+</w:t>
            </w:r>
          </w:p>
        </w:tc>
        <w:tc>
          <w:tcPr>
            <w:tcW w:w="3425" w:type="dxa"/>
            <w:tcBorders>
              <w:top w:val="nil"/>
              <w:left w:val="nil"/>
              <w:bottom w:val="nil"/>
              <w:right w:val="nil"/>
            </w:tcBorders>
            <w:noWrap/>
            <w:vAlign w:val="bottom"/>
            <w:hideMark/>
          </w:tcPr>
          <w:p w14:paraId="198D651B" w14:textId="73C03313" w:rsidR="00B84D6A" w:rsidRPr="003372B9" w:rsidRDefault="006724A4" w:rsidP="00B84D6A">
            <w:pPr>
              <w:rPr>
                <w:sz w:val="18"/>
                <w:szCs w:val="18"/>
                <w:lang w:val="en-GB"/>
              </w:rPr>
            </w:pPr>
            <w:r>
              <w:rPr>
                <w:sz w:val="18"/>
                <w:szCs w:val="18"/>
                <w:lang w:val="en-GB"/>
              </w:rPr>
              <w:fldChar w:fldCharType="begin"/>
            </w:r>
            <w:r>
              <w:rPr>
                <w:sz w:val="18"/>
                <w:szCs w:val="18"/>
                <w:lang w:val="en-GB"/>
              </w:rPr>
              <w:instrText xml:space="preserve"> ADDIN ZOTERO_ITEM CSL_CITATION {"citationID":"PBmcVYOz","properties":{"unsorted":false,"formattedCitation":"(Armon et al., 1997)","plainCitation":"(Armon et al., 1997)","noteIndex":0},"citationItems":[{"id":18984,"uris":["http://zotero.org/users/19779089/items/GXZ2WS9H"],"itemData":{"id":18984,"type":"article-journal","citation-key":"armonBacteriophagesEntericBacteria1997","container-title":"Journal of Applied Microbiology","DOI":"10.1046/j.1365-2672.1997.00278.x","ISSN":"1364-5072","issue":"5","note":"citation-key: armonBacteriophagesEntericBacteria1997","page":"627–633","title":"Bacteriophages of enteric bacteria in drinking water, comparison of their distribution in two countries","volume":"83","author":[{"family":"Armon","given":"R."},{"family":"Araujo","given":"R."},{"family":"Kott","given":"Y."},{"family":"Lucena","given":"F."},{"family":"Jofre","given":"J."}],"accessed":{"date-parts":[["2016",6,2]]},"issued":{"date-parts":[["1997",11]]}}}],"schema":"https://github.com/citation-style-language/schema/raw/master/csl-citation.json"} </w:instrText>
            </w:r>
            <w:r>
              <w:rPr>
                <w:sz w:val="18"/>
                <w:szCs w:val="18"/>
                <w:lang w:val="en-GB"/>
              </w:rPr>
              <w:fldChar w:fldCharType="separate"/>
            </w:r>
            <w:r>
              <w:rPr>
                <w:sz w:val="18"/>
                <w:szCs w:val="18"/>
                <w:lang w:val="en-GB"/>
              </w:rPr>
              <w:t>(Armon et al., 1997)</w:t>
            </w:r>
            <w:r>
              <w:rPr>
                <w:sz w:val="18"/>
                <w:szCs w:val="18"/>
                <w:lang w:val="en-GB"/>
              </w:rPr>
              <w:fldChar w:fldCharType="end"/>
            </w:r>
          </w:p>
        </w:tc>
      </w:tr>
      <w:tr w:rsidR="00B84D6A" w:rsidRPr="003372B9" w14:paraId="1D4F7CCB" w14:textId="77777777" w:rsidTr="4F6155F2">
        <w:trPr>
          <w:trHeight w:val="360"/>
          <w:jc w:val="center"/>
        </w:trPr>
        <w:tc>
          <w:tcPr>
            <w:tcW w:w="3686" w:type="dxa"/>
            <w:tcBorders>
              <w:top w:val="nil"/>
              <w:left w:val="nil"/>
              <w:bottom w:val="nil"/>
              <w:right w:val="nil"/>
            </w:tcBorders>
            <w:noWrap/>
            <w:vAlign w:val="bottom"/>
            <w:hideMark/>
          </w:tcPr>
          <w:p w14:paraId="3C3ED0A2" w14:textId="77777777" w:rsidR="00B84D6A" w:rsidRPr="003372B9" w:rsidRDefault="00B84D6A" w:rsidP="00B5343D">
            <w:pPr>
              <w:ind w:firstLineChars="100" w:firstLine="180"/>
              <w:rPr>
                <w:color w:val="000000"/>
                <w:sz w:val="18"/>
                <w:szCs w:val="18"/>
                <w:lang w:val="en-GB"/>
              </w:rPr>
            </w:pPr>
            <w:r>
              <w:rPr>
                <w:color w:val="000000"/>
                <w:sz w:val="18"/>
                <w:szCs w:val="18"/>
                <w:lang w:val="en-GB"/>
              </w:rPr>
              <w:t>DH5α</w:t>
            </w:r>
          </w:p>
        </w:tc>
        <w:tc>
          <w:tcPr>
            <w:tcW w:w="2008" w:type="dxa"/>
            <w:tcBorders>
              <w:top w:val="nil"/>
              <w:left w:val="nil"/>
              <w:bottom w:val="nil"/>
              <w:right w:val="nil"/>
            </w:tcBorders>
            <w:noWrap/>
            <w:vAlign w:val="bottom"/>
            <w:hideMark/>
          </w:tcPr>
          <w:p w14:paraId="50D69E55" w14:textId="77777777" w:rsidR="00B84D6A" w:rsidRPr="003372B9" w:rsidRDefault="00B84D6A" w:rsidP="00B84D6A">
            <w:pPr>
              <w:jc w:val="center"/>
              <w:rPr>
                <w:color w:val="000000"/>
                <w:sz w:val="18"/>
                <w:szCs w:val="18"/>
                <w:lang w:val="en-GB"/>
              </w:rPr>
            </w:pPr>
            <w:r>
              <w:rPr>
                <w:color w:val="000000"/>
                <w:sz w:val="18"/>
                <w:szCs w:val="18"/>
                <w:lang w:val="en-GB"/>
              </w:rPr>
              <w:t>-</w:t>
            </w:r>
          </w:p>
        </w:tc>
        <w:tc>
          <w:tcPr>
            <w:tcW w:w="792" w:type="dxa"/>
            <w:tcBorders>
              <w:top w:val="nil"/>
              <w:left w:val="nil"/>
              <w:bottom w:val="nil"/>
              <w:right w:val="nil"/>
            </w:tcBorders>
            <w:noWrap/>
            <w:vAlign w:val="bottom"/>
            <w:hideMark/>
          </w:tcPr>
          <w:p w14:paraId="548507A8" w14:textId="77777777" w:rsidR="00B84D6A" w:rsidRPr="003372B9" w:rsidRDefault="00B84D6A" w:rsidP="00B84D6A">
            <w:pPr>
              <w:jc w:val="center"/>
              <w:rPr>
                <w:color w:val="000000"/>
                <w:sz w:val="18"/>
                <w:szCs w:val="18"/>
                <w:lang w:val="en-GB"/>
              </w:rPr>
            </w:pPr>
            <w:r>
              <w:rPr>
                <w:color w:val="000000"/>
                <w:sz w:val="18"/>
                <w:szCs w:val="18"/>
                <w:lang w:val="en-GB"/>
              </w:rPr>
              <w:t>+</w:t>
            </w:r>
          </w:p>
        </w:tc>
        <w:tc>
          <w:tcPr>
            <w:tcW w:w="1950" w:type="dxa"/>
            <w:tcBorders>
              <w:top w:val="nil"/>
              <w:left w:val="nil"/>
              <w:bottom w:val="nil"/>
              <w:right w:val="nil"/>
            </w:tcBorders>
            <w:noWrap/>
            <w:vAlign w:val="bottom"/>
            <w:hideMark/>
          </w:tcPr>
          <w:p w14:paraId="0E839DA3" w14:textId="77777777" w:rsidR="00B84D6A" w:rsidRPr="003372B9" w:rsidRDefault="00B84D6A" w:rsidP="00B84D6A">
            <w:pPr>
              <w:jc w:val="center"/>
              <w:rPr>
                <w:color w:val="000000"/>
                <w:sz w:val="18"/>
                <w:szCs w:val="18"/>
                <w:lang w:val="en-GB"/>
              </w:rPr>
            </w:pPr>
            <w:r>
              <w:rPr>
                <w:color w:val="000000"/>
                <w:sz w:val="18"/>
                <w:szCs w:val="18"/>
                <w:lang w:val="en-GB"/>
              </w:rPr>
              <w:t>-</w:t>
            </w:r>
          </w:p>
        </w:tc>
        <w:tc>
          <w:tcPr>
            <w:tcW w:w="770" w:type="dxa"/>
            <w:tcBorders>
              <w:top w:val="nil"/>
              <w:left w:val="nil"/>
              <w:bottom w:val="nil"/>
              <w:right w:val="nil"/>
            </w:tcBorders>
            <w:noWrap/>
            <w:vAlign w:val="bottom"/>
            <w:hideMark/>
          </w:tcPr>
          <w:p w14:paraId="6A433561" w14:textId="77777777" w:rsidR="00B84D6A" w:rsidRPr="003372B9" w:rsidRDefault="00B84D6A" w:rsidP="00B84D6A">
            <w:pPr>
              <w:jc w:val="center"/>
              <w:rPr>
                <w:color w:val="000000"/>
                <w:sz w:val="18"/>
                <w:szCs w:val="18"/>
                <w:lang w:val="en-GB"/>
              </w:rPr>
            </w:pPr>
            <w:r>
              <w:rPr>
                <w:color w:val="000000"/>
                <w:sz w:val="18"/>
                <w:szCs w:val="18"/>
                <w:lang w:val="en-GB"/>
              </w:rPr>
              <w:t>+</w:t>
            </w:r>
          </w:p>
        </w:tc>
        <w:tc>
          <w:tcPr>
            <w:tcW w:w="3425" w:type="dxa"/>
            <w:tcBorders>
              <w:top w:val="nil"/>
              <w:left w:val="nil"/>
              <w:bottom w:val="nil"/>
              <w:right w:val="nil"/>
            </w:tcBorders>
            <w:noWrap/>
            <w:vAlign w:val="bottom"/>
            <w:hideMark/>
          </w:tcPr>
          <w:p w14:paraId="2F63A8CD" w14:textId="2F744967" w:rsidR="00B84D6A" w:rsidRPr="003372B9" w:rsidRDefault="006724A4" w:rsidP="00B84D6A">
            <w:pPr>
              <w:rPr>
                <w:sz w:val="18"/>
                <w:szCs w:val="18"/>
                <w:lang w:val="en-GB"/>
              </w:rPr>
            </w:pPr>
            <w:r>
              <w:rPr>
                <w:sz w:val="18"/>
                <w:szCs w:val="18"/>
                <w:lang w:val="en-GB"/>
              </w:rPr>
              <w:fldChar w:fldCharType="begin"/>
            </w:r>
            <w:r>
              <w:rPr>
                <w:sz w:val="18"/>
                <w:szCs w:val="18"/>
                <w:lang w:val="en-GB"/>
              </w:rPr>
              <w:instrText xml:space="preserve"> ADDIN ZOTERO_ITEM CSL_CITATION {"citationID":"9Jdm0JJ7","properties":{"unsorted":false,"formattedCitation":"(Hanahan, 1983)","plainCitation":"(Hanahan, 1983)","noteIndex":0},"citationItems":[{"id":5444,"uris":["http://zotero.org/users/19779089/items/H4IXAY5X"],"itemData":{"id":5444,"type":"article-journal","abstract":"Factors that affect the probability of genetic transformation of Escherichia coli by plasmids have been evaluated. A set of conditions is described under which about one in every 400 plasmid molecules produces a transformed cell. These conditions include cell growth in medium containing elevated levels of Mg2+, and incubation of the cells at 0??C in a solution of Mn2+, Ca2+, Rb+ or K+, dimethyl sulfoxide, dithiothreitol, and hexamine cobalt (III). Transformation efficiency declines linearly with increasing plasmid size. Relaxed and supercoiled plasmids transform with similar probabilities. Non-transforming DNAs compete consistent with mass. No significant variation is observed between competing DNAs of different source, complexity, length or form. Competition with both transforming and non-transforming plasmids indicates that each cell is capable of taking up many DNA molecules, and that the establishment of a transformation event is neither helped nor hindered significantly by the presence of multiple plasmids. ?? 1983 Academic Press Inc. (London) Ltd.","citation-key":"hanahanStudiesTransformationEscherichia1983","container-title":"Journal of Molecular Biology","DOI":"10.1016/S0022-2836(83)80284-8","ISSN":"00222836","issue":"4","note":"ISBN: 0022-2836 (Print)\\r0022-2836 (Linking)","page":"557-580","PMID":"6345791","title":"Studies on transformation of Escherichia coli with plasmids","volume":"166","author":[{"family":"Hanahan","given":"Douglas"}],"issued":{"date-parts":[["1983"]]}}}],"schema":"https://github.com/citation-style-language/schema/raw/master/csl-citation.json"} </w:instrText>
            </w:r>
            <w:r>
              <w:rPr>
                <w:sz w:val="18"/>
                <w:szCs w:val="18"/>
                <w:lang w:val="en-GB"/>
              </w:rPr>
              <w:fldChar w:fldCharType="separate"/>
            </w:r>
            <w:r>
              <w:rPr>
                <w:sz w:val="18"/>
                <w:szCs w:val="18"/>
                <w:lang w:val="en-GB"/>
              </w:rPr>
              <w:t>(Hanahan, 1983)</w:t>
            </w:r>
            <w:r>
              <w:rPr>
                <w:sz w:val="18"/>
                <w:szCs w:val="18"/>
                <w:lang w:val="en-GB"/>
              </w:rPr>
              <w:fldChar w:fldCharType="end"/>
            </w:r>
          </w:p>
        </w:tc>
      </w:tr>
      <w:tr w:rsidR="00B84D6A" w:rsidRPr="003372B9" w14:paraId="323CCC28" w14:textId="77777777" w:rsidTr="4F6155F2">
        <w:trPr>
          <w:trHeight w:val="295"/>
          <w:jc w:val="center"/>
        </w:trPr>
        <w:tc>
          <w:tcPr>
            <w:tcW w:w="3686" w:type="dxa"/>
            <w:tcBorders>
              <w:top w:val="nil"/>
              <w:left w:val="nil"/>
              <w:bottom w:val="nil"/>
              <w:right w:val="nil"/>
            </w:tcBorders>
            <w:noWrap/>
            <w:vAlign w:val="bottom"/>
            <w:hideMark/>
          </w:tcPr>
          <w:p w14:paraId="0D7333B1" w14:textId="77777777" w:rsidR="00B84D6A" w:rsidRPr="003372B9" w:rsidRDefault="00B84D6A" w:rsidP="00B5343D">
            <w:pPr>
              <w:ind w:firstLineChars="100" w:firstLine="180"/>
              <w:rPr>
                <w:i/>
                <w:iCs/>
                <w:color w:val="000000"/>
                <w:sz w:val="18"/>
                <w:szCs w:val="18"/>
                <w:lang w:val="en-GB"/>
              </w:rPr>
            </w:pPr>
            <w:r>
              <w:rPr>
                <w:color w:val="000000"/>
                <w:sz w:val="18"/>
                <w:szCs w:val="18"/>
                <w:lang w:val="en-GB"/>
              </w:rPr>
              <w:t>O25:H4</w:t>
            </w:r>
            <w:r>
              <w:rPr>
                <w:i/>
                <w:iCs/>
                <w:color w:val="000000"/>
                <w:sz w:val="18"/>
                <w:szCs w:val="18"/>
                <w:lang w:val="en-GB"/>
              </w:rPr>
              <w:t xml:space="preserve"> </w:t>
            </w:r>
            <w:r>
              <w:rPr>
                <w:color w:val="000000"/>
                <w:sz w:val="18"/>
                <w:szCs w:val="18"/>
                <w:lang w:val="en-GB"/>
              </w:rPr>
              <w:t>FV7593</w:t>
            </w:r>
          </w:p>
        </w:tc>
        <w:tc>
          <w:tcPr>
            <w:tcW w:w="2008" w:type="dxa"/>
            <w:tcBorders>
              <w:top w:val="nil"/>
              <w:left w:val="nil"/>
              <w:bottom w:val="nil"/>
              <w:right w:val="nil"/>
            </w:tcBorders>
            <w:noWrap/>
            <w:vAlign w:val="bottom"/>
            <w:hideMark/>
          </w:tcPr>
          <w:p w14:paraId="1792CCC5" w14:textId="77777777" w:rsidR="00B84D6A" w:rsidRPr="003372B9" w:rsidRDefault="00B84D6A" w:rsidP="00B84D6A">
            <w:pPr>
              <w:jc w:val="center"/>
              <w:rPr>
                <w:color w:val="000000"/>
                <w:sz w:val="18"/>
                <w:szCs w:val="18"/>
                <w:lang w:val="en-GB"/>
              </w:rPr>
            </w:pPr>
            <w:r>
              <w:rPr>
                <w:color w:val="000000"/>
                <w:sz w:val="18"/>
                <w:szCs w:val="18"/>
                <w:lang w:val="en-GB"/>
              </w:rPr>
              <w:t>+</w:t>
            </w:r>
          </w:p>
        </w:tc>
        <w:tc>
          <w:tcPr>
            <w:tcW w:w="792" w:type="dxa"/>
            <w:tcBorders>
              <w:top w:val="nil"/>
              <w:left w:val="nil"/>
              <w:bottom w:val="nil"/>
              <w:right w:val="nil"/>
            </w:tcBorders>
            <w:noWrap/>
            <w:vAlign w:val="bottom"/>
            <w:hideMark/>
          </w:tcPr>
          <w:p w14:paraId="75C64F45" w14:textId="77777777" w:rsidR="00B84D6A" w:rsidRPr="003372B9" w:rsidRDefault="00B84D6A" w:rsidP="00B84D6A">
            <w:pPr>
              <w:jc w:val="center"/>
              <w:rPr>
                <w:color w:val="000000"/>
                <w:sz w:val="18"/>
                <w:szCs w:val="18"/>
                <w:lang w:val="en-GB"/>
              </w:rPr>
            </w:pPr>
            <w:r>
              <w:rPr>
                <w:color w:val="000000"/>
                <w:sz w:val="18"/>
                <w:szCs w:val="18"/>
                <w:lang w:val="en-GB"/>
              </w:rPr>
              <w:t>+</w:t>
            </w:r>
          </w:p>
        </w:tc>
        <w:tc>
          <w:tcPr>
            <w:tcW w:w="1950" w:type="dxa"/>
            <w:tcBorders>
              <w:top w:val="nil"/>
              <w:left w:val="nil"/>
              <w:bottom w:val="nil"/>
              <w:right w:val="nil"/>
            </w:tcBorders>
            <w:noWrap/>
            <w:vAlign w:val="bottom"/>
            <w:hideMark/>
          </w:tcPr>
          <w:p w14:paraId="53DC02A0" w14:textId="77777777" w:rsidR="00B84D6A" w:rsidRPr="003372B9" w:rsidRDefault="00B84D6A" w:rsidP="00B84D6A">
            <w:pPr>
              <w:jc w:val="center"/>
              <w:rPr>
                <w:color w:val="000000"/>
                <w:sz w:val="18"/>
                <w:szCs w:val="18"/>
                <w:lang w:val="en-GB"/>
              </w:rPr>
            </w:pPr>
            <w:r>
              <w:rPr>
                <w:color w:val="000000"/>
                <w:sz w:val="18"/>
                <w:szCs w:val="18"/>
                <w:lang w:val="en-GB"/>
              </w:rPr>
              <w:t>+</w:t>
            </w:r>
          </w:p>
        </w:tc>
        <w:tc>
          <w:tcPr>
            <w:tcW w:w="770" w:type="dxa"/>
            <w:tcBorders>
              <w:top w:val="nil"/>
              <w:left w:val="nil"/>
              <w:bottom w:val="nil"/>
              <w:right w:val="nil"/>
            </w:tcBorders>
            <w:noWrap/>
            <w:vAlign w:val="bottom"/>
            <w:hideMark/>
          </w:tcPr>
          <w:p w14:paraId="3A5D9801" w14:textId="77777777" w:rsidR="00B84D6A" w:rsidRPr="003372B9" w:rsidRDefault="00B84D6A" w:rsidP="00B84D6A">
            <w:pPr>
              <w:jc w:val="center"/>
              <w:rPr>
                <w:color w:val="000000"/>
                <w:sz w:val="18"/>
                <w:szCs w:val="18"/>
                <w:lang w:val="en-GB"/>
              </w:rPr>
            </w:pPr>
            <w:r>
              <w:rPr>
                <w:color w:val="000000"/>
                <w:sz w:val="18"/>
                <w:szCs w:val="18"/>
                <w:lang w:val="en-GB"/>
              </w:rPr>
              <w:t>+</w:t>
            </w:r>
          </w:p>
        </w:tc>
        <w:tc>
          <w:tcPr>
            <w:tcW w:w="3425" w:type="dxa"/>
            <w:tcBorders>
              <w:top w:val="nil"/>
              <w:left w:val="nil"/>
              <w:bottom w:val="nil"/>
              <w:right w:val="nil"/>
            </w:tcBorders>
            <w:noWrap/>
            <w:vAlign w:val="bottom"/>
            <w:hideMark/>
          </w:tcPr>
          <w:p w14:paraId="339D3D13" w14:textId="1B30C4AB" w:rsidR="00B84D6A" w:rsidRPr="003372B9" w:rsidRDefault="00F463D1" w:rsidP="00B84D6A">
            <w:pPr>
              <w:rPr>
                <w:color w:val="000000"/>
                <w:sz w:val="18"/>
                <w:szCs w:val="18"/>
                <w:lang w:val="en-GB"/>
              </w:rPr>
            </w:pPr>
            <w:r>
              <w:rPr>
                <w:color w:val="000000"/>
                <w:sz w:val="18"/>
                <w:szCs w:val="18"/>
                <w:lang w:val="en-GB"/>
              </w:rPr>
              <w:fldChar w:fldCharType="begin"/>
            </w:r>
            <w:r>
              <w:rPr>
                <w:color w:val="000000"/>
                <w:sz w:val="18"/>
                <w:szCs w:val="18"/>
                <w:lang w:val="en-GB"/>
              </w:rPr>
              <w:instrText xml:space="preserve"> ADDIN ZOTERO_ITEM CSL_CITATION {"citationID":"zQfwpcrP","properties":{"unsorted":false,"formattedCitation":"(Colomer-Lluch et al., 2013)","plainCitation":"(Colomer-Lluch et al., 2013)","noteIndex":0},"citationItems":[{"id":29332,"uris":["http://zotero.org/users/19779089/items/6ZMB8D9Y"],"itemData":{"id":29332,"type":"article-journal","citation-key":"colomerllucha2013","container-title":"Journal of Antimicrobial Chemotherapy","DOI":"10.1093/jac/dks477","issue":"4","note":"citation-key: colomerllucha2013","page":"758–765","PMID":"23221627","title":"Detection of quinolone-resistant &lt;span class=\"nocase\"&gt;Escherichia coli&lt;/span&gt; isolates belonging to clonal groups O25b:H4-B2-ST131 and O25b:H4-D-ST69 in raw sewage and river water in Barcelona, Spain","volume":"68","author":[{"family":"Colomer-Lluch","given":"M."},{"family":"Mora","given":"A."},{"family":"López","given":"C."},{"family":"Mamani","given":"R."},{"family":"Dahbi","given":"G."},{"family":"Marzoa","given":"J."},{"family":"Herrera","given":"A."},{"family":"Viso","given":"S."},{"family":"Blanco","given":"J. E."},{"family":"Blanco","given":"M."},{"family":"Alonso","given":"M. P."},{"family":"Jofre","given":"J."},{"family":"Muniesa","given":"M."},{"family":"Blanco","given":"J."}],"issued":{"date-parts":[["2013"]]}}}],"schema":"https://github.com/citation-style-language/schema/raw/master/csl-citation.json"} </w:instrText>
            </w:r>
            <w:r>
              <w:rPr>
                <w:color w:val="000000"/>
                <w:sz w:val="18"/>
                <w:szCs w:val="18"/>
                <w:lang w:val="en-GB"/>
              </w:rPr>
              <w:fldChar w:fldCharType="separate"/>
            </w:r>
            <w:r>
              <w:rPr>
                <w:sz w:val="18"/>
                <w:szCs w:val="18"/>
                <w:lang w:val="en-GB"/>
              </w:rPr>
              <w:t>(Colomer-Lluch et al., 2013)</w:t>
            </w:r>
            <w:r>
              <w:rPr>
                <w:color w:val="000000"/>
                <w:sz w:val="18"/>
                <w:szCs w:val="18"/>
                <w:lang w:val="en-GB"/>
              </w:rPr>
              <w:fldChar w:fldCharType="end"/>
            </w:r>
            <w:r>
              <w:rPr>
                <w:color w:val="000000"/>
                <w:sz w:val="18"/>
                <w:szCs w:val="18"/>
                <w:lang w:val="en-GB"/>
              </w:rPr>
              <w:t xml:space="preserve"> </w:t>
            </w:r>
          </w:p>
        </w:tc>
      </w:tr>
      <w:tr w:rsidR="00B84D6A" w:rsidRPr="003372B9" w14:paraId="110155FD" w14:textId="77777777" w:rsidTr="4F6155F2">
        <w:trPr>
          <w:trHeight w:val="295"/>
          <w:jc w:val="center"/>
        </w:trPr>
        <w:tc>
          <w:tcPr>
            <w:tcW w:w="3686" w:type="dxa"/>
            <w:tcBorders>
              <w:top w:val="nil"/>
              <w:left w:val="nil"/>
              <w:bottom w:val="nil"/>
              <w:right w:val="nil"/>
            </w:tcBorders>
            <w:noWrap/>
            <w:vAlign w:val="bottom"/>
            <w:hideMark/>
          </w:tcPr>
          <w:p w14:paraId="6170F498" w14:textId="77777777" w:rsidR="00B84D6A" w:rsidRPr="003372B9" w:rsidRDefault="00B84D6A" w:rsidP="00B5343D">
            <w:pPr>
              <w:ind w:firstLineChars="100" w:firstLine="180"/>
              <w:rPr>
                <w:color w:val="000000"/>
                <w:sz w:val="18"/>
                <w:szCs w:val="18"/>
                <w:lang w:val="en-GB"/>
              </w:rPr>
            </w:pPr>
            <w:r>
              <w:rPr>
                <w:color w:val="000000"/>
                <w:sz w:val="18"/>
                <w:szCs w:val="18"/>
                <w:lang w:val="en-GB"/>
              </w:rPr>
              <w:t>O25:H4 FV7595</w:t>
            </w:r>
          </w:p>
        </w:tc>
        <w:tc>
          <w:tcPr>
            <w:tcW w:w="2008" w:type="dxa"/>
            <w:tcBorders>
              <w:top w:val="nil"/>
              <w:left w:val="nil"/>
              <w:bottom w:val="nil"/>
              <w:right w:val="nil"/>
            </w:tcBorders>
            <w:noWrap/>
            <w:vAlign w:val="bottom"/>
            <w:hideMark/>
          </w:tcPr>
          <w:p w14:paraId="456451CC" w14:textId="77777777" w:rsidR="00B84D6A" w:rsidRPr="003372B9" w:rsidRDefault="00B84D6A" w:rsidP="00B84D6A">
            <w:pPr>
              <w:jc w:val="center"/>
              <w:rPr>
                <w:color w:val="000000"/>
                <w:sz w:val="18"/>
                <w:szCs w:val="18"/>
                <w:lang w:val="en-GB"/>
              </w:rPr>
            </w:pPr>
            <w:r>
              <w:rPr>
                <w:color w:val="000000"/>
                <w:sz w:val="18"/>
                <w:szCs w:val="18"/>
                <w:lang w:val="en-GB"/>
              </w:rPr>
              <w:t>+</w:t>
            </w:r>
          </w:p>
        </w:tc>
        <w:tc>
          <w:tcPr>
            <w:tcW w:w="792" w:type="dxa"/>
            <w:tcBorders>
              <w:top w:val="nil"/>
              <w:left w:val="nil"/>
              <w:bottom w:val="nil"/>
              <w:right w:val="nil"/>
            </w:tcBorders>
            <w:noWrap/>
            <w:vAlign w:val="bottom"/>
            <w:hideMark/>
          </w:tcPr>
          <w:p w14:paraId="34A2CC23" w14:textId="77777777" w:rsidR="00B84D6A" w:rsidRPr="003372B9" w:rsidRDefault="00B84D6A" w:rsidP="00B84D6A">
            <w:pPr>
              <w:jc w:val="center"/>
              <w:rPr>
                <w:color w:val="000000"/>
                <w:sz w:val="18"/>
                <w:szCs w:val="18"/>
                <w:lang w:val="en-GB"/>
              </w:rPr>
            </w:pPr>
            <w:r>
              <w:rPr>
                <w:color w:val="000000"/>
                <w:sz w:val="18"/>
                <w:szCs w:val="18"/>
                <w:lang w:val="en-GB"/>
              </w:rPr>
              <w:t>+</w:t>
            </w:r>
          </w:p>
        </w:tc>
        <w:tc>
          <w:tcPr>
            <w:tcW w:w="1950" w:type="dxa"/>
            <w:tcBorders>
              <w:top w:val="nil"/>
              <w:left w:val="nil"/>
              <w:bottom w:val="nil"/>
              <w:right w:val="nil"/>
            </w:tcBorders>
            <w:noWrap/>
            <w:vAlign w:val="bottom"/>
            <w:hideMark/>
          </w:tcPr>
          <w:p w14:paraId="647E2A10" w14:textId="77777777" w:rsidR="00B84D6A" w:rsidRPr="003372B9" w:rsidRDefault="00B84D6A" w:rsidP="00B84D6A">
            <w:pPr>
              <w:jc w:val="center"/>
              <w:rPr>
                <w:color w:val="000000"/>
                <w:sz w:val="18"/>
                <w:szCs w:val="18"/>
                <w:lang w:val="en-GB"/>
              </w:rPr>
            </w:pPr>
            <w:r>
              <w:rPr>
                <w:color w:val="000000"/>
                <w:sz w:val="18"/>
                <w:szCs w:val="18"/>
                <w:lang w:val="en-GB"/>
              </w:rPr>
              <w:t>+</w:t>
            </w:r>
          </w:p>
        </w:tc>
        <w:tc>
          <w:tcPr>
            <w:tcW w:w="770" w:type="dxa"/>
            <w:tcBorders>
              <w:top w:val="nil"/>
              <w:left w:val="nil"/>
              <w:bottom w:val="nil"/>
              <w:right w:val="nil"/>
            </w:tcBorders>
            <w:noWrap/>
            <w:vAlign w:val="bottom"/>
            <w:hideMark/>
          </w:tcPr>
          <w:p w14:paraId="57208F5D" w14:textId="77777777" w:rsidR="00B84D6A" w:rsidRPr="003372B9" w:rsidRDefault="00B84D6A" w:rsidP="00B84D6A">
            <w:pPr>
              <w:jc w:val="center"/>
              <w:rPr>
                <w:color w:val="000000"/>
                <w:sz w:val="18"/>
                <w:szCs w:val="18"/>
                <w:lang w:val="en-GB"/>
              </w:rPr>
            </w:pPr>
            <w:r>
              <w:rPr>
                <w:color w:val="000000"/>
                <w:sz w:val="18"/>
                <w:szCs w:val="18"/>
                <w:lang w:val="en-GB"/>
              </w:rPr>
              <w:t>+</w:t>
            </w:r>
          </w:p>
        </w:tc>
        <w:tc>
          <w:tcPr>
            <w:tcW w:w="3425" w:type="dxa"/>
            <w:tcBorders>
              <w:top w:val="nil"/>
              <w:left w:val="nil"/>
              <w:bottom w:val="nil"/>
              <w:right w:val="nil"/>
            </w:tcBorders>
            <w:noWrap/>
            <w:vAlign w:val="bottom"/>
            <w:hideMark/>
          </w:tcPr>
          <w:p w14:paraId="1728BDAD" w14:textId="417646B1" w:rsidR="00B84D6A" w:rsidRPr="003372B9" w:rsidRDefault="00F463D1" w:rsidP="00B84D6A">
            <w:pPr>
              <w:rPr>
                <w:color w:val="000000"/>
                <w:sz w:val="18"/>
                <w:szCs w:val="18"/>
                <w:lang w:val="en-GB"/>
              </w:rPr>
            </w:pPr>
            <w:r>
              <w:rPr>
                <w:color w:val="000000"/>
                <w:sz w:val="18"/>
                <w:szCs w:val="18"/>
                <w:lang w:val="en-GB"/>
              </w:rPr>
              <w:fldChar w:fldCharType="begin"/>
            </w:r>
            <w:r>
              <w:rPr>
                <w:color w:val="000000"/>
                <w:sz w:val="18"/>
                <w:szCs w:val="18"/>
                <w:lang w:val="en-GB"/>
              </w:rPr>
              <w:instrText xml:space="preserve"> ADDIN ZOTERO_ITEM CSL_CITATION {"citationID":"u2PwiT0i","properties":{"unsorted":false,"formattedCitation":"(Colomer-Lluch et al., 2013)","plainCitation":"(Colomer-Lluch et al., 2013)","noteIndex":0},"citationItems":[{"id":29332,"uris":["http://zotero.org/users/19779089/items/6ZMB8D9Y"],"itemData":{"id":29332,"type":"article-journal","citation-key":"colomerllucha2013","container-title":"Journal of Antimicrobial Chemotherapy","DOI":"10.1093/jac/dks477","issue":"4","note":"citation-key: colomerllucha2013","page":"758–765","PMID":"23221627","title":"Detection of quinolone-resistant &lt;span class=\"nocase\"&gt;Escherichia coli&lt;/span&gt; isolates belonging to clonal groups O25b:H4-B2-ST131 and O25b:H4-D-ST69 in raw sewage and river water in Barcelona, Spain","volume":"68","author":[{"family":"Colomer-Lluch","given":"M."},{"family":"Mora","given":"A."},{"family":"López","given":"C."},{"family":"Mamani","given":"R."},{"family":"Dahbi","given":"G."},{"family":"Marzoa","given":"J."},{"family":"Herrera","given":"A."},{"family":"Viso","given":"S."},{"family":"Blanco","given":"J. E."},{"family":"Blanco","given":"M."},{"family":"Alonso","given":"M. P."},{"family":"Jofre","given":"J."},{"family":"Muniesa","given":"M."},{"family":"Blanco","given":"J."}],"issued":{"date-parts":[["2013"]]}}}],"schema":"https://github.com/citation-style-language/schema/raw/master/csl-citation.json"} </w:instrText>
            </w:r>
            <w:r>
              <w:rPr>
                <w:color w:val="000000"/>
                <w:sz w:val="18"/>
                <w:szCs w:val="18"/>
                <w:lang w:val="en-GB"/>
              </w:rPr>
              <w:fldChar w:fldCharType="separate"/>
            </w:r>
            <w:r>
              <w:rPr>
                <w:sz w:val="18"/>
                <w:szCs w:val="18"/>
                <w:lang w:val="en-GB"/>
              </w:rPr>
              <w:t>(Colomer-Lluch et al., 2013)</w:t>
            </w:r>
            <w:r>
              <w:rPr>
                <w:color w:val="000000"/>
                <w:sz w:val="18"/>
                <w:szCs w:val="18"/>
                <w:lang w:val="en-GB"/>
              </w:rPr>
              <w:fldChar w:fldCharType="end"/>
            </w:r>
          </w:p>
        </w:tc>
      </w:tr>
      <w:tr w:rsidR="00B84D6A" w:rsidRPr="003372B9" w14:paraId="33C6BBF6" w14:textId="77777777" w:rsidTr="4F6155F2">
        <w:trPr>
          <w:trHeight w:val="295"/>
          <w:jc w:val="center"/>
        </w:trPr>
        <w:tc>
          <w:tcPr>
            <w:tcW w:w="3686" w:type="dxa"/>
            <w:tcBorders>
              <w:top w:val="nil"/>
              <w:left w:val="nil"/>
              <w:bottom w:val="nil"/>
              <w:right w:val="nil"/>
            </w:tcBorders>
            <w:noWrap/>
            <w:vAlign w:val="bottom"/>
            <w:hideMark/>
          </w:tcPr>
          <w:p w14:paraId="7B4C90F7" w14:textId="77777777" w:rsidR="00B84D6A" w:rsidRPr="003372B9" w:rsidRDefault="00B84D6A" w:rsidP="00B5343D">
            <w:pPr>
              <w:ind w:firstLineChars="100" w:firstLine="180"/>
              <w:rPr>
                <w:color w:val="000000"/>
                <w:sz w:val="18"/>
                <w:szCs w:val="18"/>
                <w:lang w:val="en-GB"/>
              </w:rPr>
            </w:pPr>
            <w:r>
              <w:rPr>
                <w:color w:val="000000"/>
                <w:sz w:val="18"/>
                <w:szCs w:val="18"/>
                <w:lang w:val="en-GB"/>
              </w:rPr>
              <w:t>O25:H4 FV9569</w:t>
            </w:r>
          </w:p>
        </w:tc>
        <w:tc>
          <w:tcPr>
            <w:tcW w:w="2008" w:type="dxa"/>
            <w:tcBorders>
              <w:top w:val="nil"/>
              <w:left w:val="nil"/>
              <w:bottom w:val="nil"/>
              <w:right w:val="nil"/>
            </w:tcBorders>
            <w:noWrap/>
            <w:vAlign w:val="bottom"/>
            <w:hideMark/>
          </w:tcPr>
          <w:p w14:paraId="43624D90" w14:textId="77777777" w:rsidR="00B84D6A" w:rsidRPr="003372B9" w:rsidRDefault="00B84D6A" w:rsidP="00B84D6A">
            <w:pPr>
              <w:jc w:val="center"/>
              <w:rPr>
                <w:color w:val="000000"/>
                <w:sz w:val="18"/>
                <w:szCs w:val="18"/>
                <w:lang w:val="en-GB"/>
              </w:rPr>
            </w:pPr>
            <w:r>
              <w:rPr>
                <w:color w:val="000000"/>
                <w:sz w:val="18"/>
                <w:szCs w:val="18"/>
                <w:lang w:val="en-GB"/>
              </w:rPr>
              <w:t>+</w:t>
            </w:r>
          </w:p>
        </w:tc>
        <w:tc>
          <w:tcPr>
            <w:tcW w:w="792" w:type="dxa"/>
            <w:tcBorders>
              <w:top w:val="nil"/>
              <w:left w:val="nil"/>
              <w:bottom w:val="nil"/>
              <w:right w:val="nil"/>
            </w:tcBorders>
            <w:noWrap/>
            <w:vAlign w:val="bottom"/>
            <w:hideMark/>
          </w:tcPr>
          <w:p w14:paraId="2D4674A4" w14:textId="77777777" w:rsidR="00B84D6A" w:rsidRPr="003372B9" w:rsidRDefault="00B84D6A" w:rsidP="00B84D6A">
            <w:pPr>
              <w:jc w:val="center"/>
              <w:rPr>
                <w:color w:val="000000"/>
                <w:sz w:val="18"/>
                <w:szCs w:val="18"/>
                <w:lang w:val="en-GB"/>
              </w:rPr>
            </w:pPr>
            <w:r>
              <w:rPr>
                <w:color w:val="000000"/>
                <w:sz w:val="18"/>
                <w:szCs w:val="18"/>
                <w:lang w:val="en-GB"/>
              </w:rPr>
              <w:t>+</w:t>
            </w:r>
          </w:p>
        </w:tc>
        <w:tc>
          <w:tcPr>
            <w:tcW w:w="1950" w:type="dxa"/>
            <w:tcBorders>
              <w:top w:val="nil"/>
              <w:left w:val="nil"/>
              <w:bottom w:val="nil"/>
              <w:right w:val="nil"/>
            </w:tcBorders>
            <w:noWrap/>
            <w:vAlign w:val="bottom"/>
            <w:hideMark/>
          </w:tcPr>
          <w:p w14:paraId="02F57D91" w14:textId="77777777" w:rsidR="00B84D6A" w:rsidRPr="003372B9" w:rsidRDefault="00B84D6A" w:rsidP="00B84D6A">
            <w:pPr>
              <w:jc w:val="center"/>
              <w:rPr>
                <w:color w:val="000000"/>
                <w:sz w:val="18"/>
                <w:szCs w:val="18"/>
                <w:lang w:val="en-GB"/>
              </w:rPr>
            </w:pPr>
            <w:r>
              <w:rPr>
                <w:color w:val="000000"/>
                <w:sz w:val="18"/>
                <w:szCs w:val="18"/>
                <w:lang w:val="en-GB"/>
              </w:rPr>
              <w:t>+</w:t>
            </w:r>
          </w:p>
        </w:tc>
        <w:tc>
          <w:tcPr>
            <w:tcW w:w="770" w:type="dxa"/>
            <w:tcBorders>
              <w:top w:val="nil"/>
              <w:left w:val="nil"/>
              <w:bottom w:val="nil"/>
              <w:right w:val="nil"/>
            </w:tcBorders>
            <w:noWrap/>
            <w:vAlign w:val="bottom"/>
            <w:hideMark/>
          </w:tcPr>
          <w:p w14:paraId="1EDEC9D1" w14:textId="77777777" w:rsidR="00B84D6A" w:rsidRPr="003372B9" w:rsidRDefault="00B84D6A" w:rsidP="00B84D6A">
            <w:pPr>
              <w:jc w:val="center"/>
              <w:rPr>
                <w:color w:val="000000"/>
                <w:sz w:val="18"/>
                <w:szCs w:val="18"/>
                <w:lang w:val="en-GB"/>
              </w:rPr>
            </w:pPr>
            <w:r>
              <w:rPr>
                <w:color w:val="000000"/>
                <w:sz w:val="18"/>
                <w:szCs w:val="18"/>
                <w:lang w:val="en-GB"/>
              </w:rPr>
              <w:t>+</w:t>
            </w:r>
          </w:p>
        </w:tc>
        <w:tc>
          <w:tcPr>
            <w:tcW w:w="3425" w:type="dxa"/>
            <w:tcBorders>
              <w:top w:val="nil"/>
              <w:left w:val="nil"/>
              <w:bottom w:val="nil"/>
              <w:right w:val="nil"/>
            </w:tcBorders>
            <w:noWrap/>
            <w:vAlign w:val="bottom"/>
            <w:hideMark/>
          </w:tcPr>
          <w:p w14:paraId="63F11BDC" w14:textId="3EFD9159" w:rsidR="00B84D6A" w:rsidRPr="003372B9" w:rsidRDefault="00F463D1" w:rsidP="00B84D6A">
            <w:pPr>
              <w:rPr>
                <w:color w:val="000000"/>
                <w:sz w:val="18"/>
                <w:szCs w:val="18"/>
                <w:lang w:val="en-GB"/>
              </w:rPr>
            </w:pPr>
            <w:r>
              <w:rPr>
                <w:color w:val="000000"/>
                <w:sz w:val="18"/>
                <w:szCs w:val="18"/>
                <w:lang w:val="en-GB"/>
              </w:rPr>
              <w:fldChar w:fldCharType="begin"/>
            </w:r>
            <w:r>
              <w:rPr>
                <w:color w:val="000000"/>
                <w:sz w:val="18"/>
                <w:szCs w:val="18"/>
                <w:lang w:val="en-GB"/>
              </w:rPr>
              <w:instrText xml:space="preserve"> ADDIN ZOTERO_ITEM CSL_CITATION {"citationID":"E3qzRhwx","properties":{"unsorted":false,"formattedCitation":"(Colomer-Lluch et al., 2013)","plainCitation":"(Colomer-Lluch et al., 2013)","noteIndex":0},"citationItems":[{"id":29332,"uris":["http://zotero.org/users/19779089/items/6ZMB8D9Y"],"itemData":{"id":29332,"type":"article-journal","citation-key":"colomerllucha2013","container-title":"Journal of Antimicrobial Chemotherapy","DOI":"10.1093/jac/dks477","issue":"4","note":"citation-key: colomerllucha2013","page":"758–765","PMID":"23221627","title":"Detection of quinolone-resistant &lt;span class=\"nocase\"&gt;Escherichia coli&lt;/span&gt; isolates belonging to clonal groups O25b:H4-B2-ST131 and O25b:H4-D-ST69 in raw sewage and river water in Barcelona, Spain","volume":"68","author":[{"family":"Colomer-Lluch","given":"M."},{"family":"Mora","given":"A."},{"family":"López","given":"C."},{"family":"Mamani","given":"R."},{"family":"Dahbi","given":"G."},{"family":"Marzoa","given":"J."},{"family":"Herrera","given":"A."},{"family":"Viso","given":"S."},{"family":"Blanco","given":"J. E."},{"family":"Blanco","given":"M."},{"family":"Alonso","given":"M. P."},{"family":"Jofre","given":"J."},{"family":"Muniesa","given":"M."},{"family":"Blanco","given":"J."}],"issued":{"date-parts":[["2013"]]}}}],"schema":"https://github.com/citation-style-language/schema/raw/master/csl-citation.json"} </w:instrText>
            </w:r>
            <w:r>
              <w:rPr>
                <w:color w:val="000000"/>
                <w:sz w:val="18"/>
                <w:szCs w:val="18"/>
                <w:lang w:val="en-GB"/>
              </w:rPr>
              <w:fldChar w:fldCharType="separate"/>
            </w:r>
            <w:r>
              <w:rPr>
                <w:sz w:val="18"/>
                <w:szCs w:val="18"/>
                <w:lang w:val="en-GB"/>
              </w:rPr>
              <w:t>(Colomer-Lluch et al., 2013)</w:t>
            </w:r>
            <w:r>
              <w:rPr>
                <w:color w:val="000000"/>
                <w:sz w:val="18"/>
                <w:szCs w:val="18"/>
                <w:lang w:val="en-GB"/>
              </w:rPr>
              <w:fldChar w:fldCharType="end"/>
            </w:r>
          </w:p>
        </w:tc>
      </w:tr>
      <w:tr w:rsidR="00B84D6A" w:rsidRPr="003372B9" w14:paraId="70949D5B" w14:textId="77777777" w:rsidTr="4F6155F2">
        <w:trPr>
          <w:trHeight w:val="295"/>
          <w:jc w:val="center"/>
        </w:trPr>
        <w:tc>
          <w:tcPr>
            <w:tcW w:w="3686" w:type="dxa"/>
            <w:tcBorders>
              <w:top w:val="nil"/>
              <w:left w:val="nil"/>
              <w:bottom w:val="nil"/>
              <w:right w:val="nil"/>
            </w:tcBorders>
            <w:noWrap/>
            <w:vAlign w:val="bottom"/>
            <w:hideMark/>
          </w:tcPr>
          <w:p w14:paraId="6A259B90" w14:textId="77777777" w:rsidR="00B84D6A" w:rsidRPr="003372B9" w:rsidRDefault="00B84D6A" w:rsidP="00B5343D">
            <w:pPr>
              <w:ind w:firstLineChars="100" w:firstLine="180"/>
              <w:rPr>
                <w:sz w:val="18"/>
                <w:szCs w:val="18"/>
                <w:lang w:val="en-GB"/>
              </w:rPr>
            </w:pPr>
            <w:r>
              <w:rPr>
                <w:sz w:val="18"/>
                <w:szCs w:val="18"/>
                <w:lang w:val="en-GB"/>
              </w:rPr>
              <w:t>WG5</w:t>
            </w:r>
          </w:p>
        </w:tc>
        <w:tc>
          <w:tcPr>
            <w:tcW w:w="2008" w:type="dxa"/>
            <w:tcBorders>
              <w:top w:val="nil"/>
              <w:left w:val="nil"/>
              <w:bottom w:val="nil"/>
              <w:right w:val="nil"/>
            </w:tcBorders>
            <w:noWrap/>
            <w:vAlign w:val="bottom"/>
            <w:hideMark/>
          </w:tcPr>
          <w:p w14:paraId="3FCDE34A" w14:textId="77777777" w:rsidR="00B84D6A" w:rsidRPr="003372B9" w:rsidRDefault="00B84D6A" w:rsidP="00B84D6A">
            <w:pPr>
              <w:jc w:val="center"/>
              <w:rPr>
                <w:color w:val="000000"/>
                <w:sz w:val="18"/>
                <w:szCs w:val="18"/>
                <w:lang w:val="en-GB"/>
              </w:rPr>
            </w:pPr>
            <w:r>
              <w:rPr>
                <w:color w:val="000000"/>
                <w:sz w:val="18"/>
                <w:szCs w:val="18"/>
                <w:lang w:val="en-GB"/>
              </w:rPr>
              <w:t>+</w:t>
            </w:r>
          </w:p>
        </w:tc>
        <w:tc>
          <w:tcPr>
            <w:tcW w:w="792" w:type="dxa"/>
            <w:tcBorders>
              <w:top w:val="nil"/>
              <w:left w:val="nil"/>
              <w:bottom w:val="nil"/>
              <w:right w:val="nil"/>
            </w:tcBorders>
            <w:noWrap/>
            <w:vAlign w:val="bottom"/>
            <w:hideMark/>
          </w:tcPr>
          <w:p w14:paraId="58957103" w14:textId="77777777" w:rsidR="00B84D6A" w:rsidRPr="003372B9" w:rsidRDefault="00B84D6A" w:rsidP="00B84D6A">
            <w:pPr>
              <w:jc w:val="center"/>
              <w:rPr>
                <w:color w:val="000000"/>
                <w:sz w:val="18"/>
                <w:szCs w:val="18"/>
                <w:lang w:val="en-GB"/>
              </w:rPr>
            </w:pPr>
            <w:r>
              <w:rPr>
                <w:color w:val="000000"/>
                <w:sz w:val="18"/>
                <w:szCs w:val="18"/>
                <w:lang w:val="en-GB"/>
              </w:rPr>
              <w:t>+</w:t>
            </w:r>
          </w:p>
        </w:tc>
        <w:tc>
          <w:tcPr>
            <w:tcW w:w="1950" w:type="dxa"/>
            <w:tcBorders>
              <w:top w:val="nil"/>
              <w:left w:val="nil"/>
              <w:bottom w:val="nil"/>
              <w:right w:val="nil"/>
            </w:tcBorders>
            <w:noWrap/>
            <w:vAlign w:val="bottom"/>
            <w:hideMark/>
          </w:tcPr>
          <w:p w14:paraId="781D65D7" w14:textId="77777777" w:rsidR="00B84D6A" w:rsidRPr="003372B9" w:rsidRDefault="00B84D6A" w:rsidP="00B84D6A">
            <w:pPr>
              <w:jc w:val="center"/>
              <w:rPr>
                <w:color w:val="000000"/>
                <w:sz w:val="18"/>
                <w:szCs w:val="18"/>
                <w:lang w:val="en-GB"/>
              </w:rPr>
            </w:pPr>
            <w:r>
              <w:rPr>
                <w:color w:val="000000"/>
                <w:sz w:val="18"/>
                <w:szCs w:val="18"/>
                <w:lang w:val="en-GB"/>
              </w:rPr>
              <w:t>+</w:t>
            </w:r>
          </w:p>
        </w:tc>
        <w:tc>
          <w:tcPr>
            <w:tcW w:w="770" w:type="dxa"/>
            <w:tcBorders>
              <w:top w:val="nil"/>
              <w:left w:val="nil"/>
              <w:bottom w:val="nil"/>
              <w:right w:val="nil"/>
            </w:tcBorders>
            <w:noWrap/>
            <w:vAlign w:val="bottom"/>
            <w:hideMark/>
          </w:tcPr>
          <w:p w14:paraId="1AD8DC93" w14:textId="77777777" w:rsidR="00B84D6A" w:rsidRPr="003372B9" w:rsidRDefault="00B84D6A" w:rsidP="00B84D6A">
            <w:pPr>
              <w:jc w:val="center"/>
              <w:rPr>
                <w:color w:val="000000"/>
                <w:sz w:val="18"/>
                <w:szCs w:val="18"/>
                <w:lang w:val="en-GB"/>
              </w:rPr>
            </w:pPr>
            <w:r>
              <w:rPr>
                <w:color w:val="000000"/>
                <w:sz w:val="18"/>
                <w:szCs w:val="18"/>
                <w:lang w:val="en-GB"/>
              </w:rPr>
              <w:t>+</w:t>
            </w:r>
          </w:p>
        </w:tc>
        <w:tc>
          <w:tcPr>
            <w:tcW w:w="3425" w:type="dxa"/>
            <w:tcBorders>
              <w:top w:val="nil"/>
              <w:left w:val="nil"/>
              <w:bottom w:val="nil"/>
              <w:right w:val="nil"/>
            </w:tcBorders>
            <w:noWrap/>
            <w:vAlign w:val="bottom"/>
            <w:hideMark/>
          </w:tcPr>
          <w:p w14:paraId="0C92A36F" w14:textId="0BFAF304" w:rsidR="00B84D6A" w:rsidRPr="003372B9" w:rsidRDefault="002276B2" w:rsidP="00B84D6A">
            <w:pPr>
              <w:rPr>
                <w:color w:val="000000"/>
                <w:sz w:val="18"/>
                <w:szCs w:val="18"/>
                <w:lang w:val="en-GB"/>
              </w:rPr>
            </w:pPr>
            <w:r>
              <w:rPr>
                <w:color w:val="000000"/>
                <w:sz w:val="18"/>
                <w:szCs w:val="18"/>
                <w:lang w:val="en-GB"/>
              </w:rPr>
              <w:fldChar w:fldCharType="begin"/>
            </w:r>
            <w:r>
              <w:rPr>
                <w:color w:val="000000"/>
                <w:sz w:val="18"/>
                <w:szCs w:val="18"/>
                <w:lang w:val="en-GB"/>
              </w:rPr>
              <w:instrText xml:space="preserve"> ADDIN ZOTERO_ITEM CSL_CITATION {"citationID":"eCrNSsnp","properties":{"unsorted":false,"formattedCitation":"(Jofre et al., 2000)","plainCitation":"(Jofre et al., 2000)","noteIndex":0},"citationItems":[{"id":8472,"uris":["http://zotero.org/users/19779089/items/5Y9C56MZ"],"itemData":{"id":8472,"type":"report","citation-key":"jofreBacteriophagesBathingWaters2000","collection-title":"bcr Information","DOI":"http://hdl.handle.net/2445/170910","ISBN":"92-828-9145-3","note":"tex.hdl: 2445/170910","page":"1-78","publisher":"European Commission, Directorate General XII","publisher-place":"Luxemburg","title":"Bacteriophages in bathing waters: A feasibility study on the development of a method based on bacteriophages for the determination of microbiological quality of bathing waters.","URL":"http://hdl.handle.net/2445/170910","author":[{"family":"Jofre","given":"J."},{"family":"Lucena","given":"F."},{"family":"Mooijman","given":"K. A."},{"family":"Pierzo","given":"V."},{"family":"Araujo","given":"R."},{"family":"Bahar","given":"M."},{"family":"Demarquilly","given":"C."},{"family":"Havelaar","given":"A"}],"accessed":{"date-parts":[["2023",6,29]]},"issued":{"date-parts":[["2000"]]}}}],"schema":"https://github.com/citation-style-language/schema/raw/master/csl-citation.json"} </w:instrText>
            </w:r>
            <w:r>
              <w:rPr>
                <w:color w:val="000000"/>
                <w:sz w:val="18"/>
                <w:szCs w:val="18"/>
                <w:lang w:val="en-GB"/>
              </w:rPr>
              <w:fldChar w:fldCharType="separate"/>
            </w:r>
            <w:r>
              <w:rPr>
                <w:sz w:val="18"/>
                <w:szCs w:val="18"/>
                <w:lang w:val="en-GB"/>
              </w:rPr>
              <w:t>(Jofre et al., 2000)</w:t>
            </w:r>
            <w:r>
              <w:rPr>
                <w:color w:val="000000"/>
                <w:sz w:val="18"/>
                <w:szCs w:val="18"/>
                <w:lang w:val="en-GB"/>
              </w:rPr>
              <w:fldChar w:fldCharType="end"/>
            </w:r>
          </w:p>
        </w:tc>
      </w:tr>
      <w:tr w:rsidR="00B84D6A" w:rsidRPr="003372B9" w14:paraId="3E018836" w14:textId="77777777" w:rsidTr="4F6155F2">
        <w:trPr>
          <w:trHeight w:val="295"/>
          <w:jc w:val="center"/>
        </w:trPr>
        <w:tc>
          <w:tcPr>
            <w:tcW w:w="3686" w:type="dxa"/>
            <w:tcBorders>
              <w:top w:val="nil"/>
              <w:left w:val="nil"/>
              <w:bottom w:val="nil"/>
              <w:right w:val="nil"/>
            </w:tcBorders>
            <w:noWrap/>
            <w:vAlign w:val="bottom"/>
            <w:hideMark/>
          </w:tcPr>
          <w:p w14:paraId="1065A991" w14:textId="77777777" w:rsidR="00B84D6A" w:rsidRPr="003372B9" w:rsidRDefault="00B84D6A" w:rsidP="00B5343D">
            <w:pPr>
              <w:rPr>
                <w:i/>
                <w:iCs/>
                <w:color w:val="000000"/>
                <w:sz w:val="18"/>
                <w:szCs w:val="18"/>
                <w:lang w:val="en-GB"/>
              </w:rPr>
            </w:pPr>
            <w:r>
              <w:rPr>
                <w:i/>
                <w:iCs/>
                <w:color w:val="000000"/>
                <w:sz w:val="18"/>
                <w:szCs w:val="18"/>
                <w:lang w:val="en-GB"/>
              </w:rPr>
              <w:t>Klebsiella spp.</w:t>
            </w:r>
          </w:p>
        </w:tc>
        <w:tc>
          <w:tcPr>
            <w:tcW w:w="2008" w:type="dxa"/>
            <w:tcBorders>
              <w:top w:val="nil"/>
              <w:left w:val="nil"/>
              <w:bottom w:val="nil"/>
              <w:right w:val="nil"/>
            </w:tcBorders>
            <w:noWrap/>
            <w:vAlign w:val="bottom"/>
            <w:hideMark/>
          </w:tcPr>
          <w:p w14:paraId="2726DCBF" w14:textId="77777777" w:rsidR="00B84D6A" w:rsidRPr="003372B9" w:rsidRDefault="00B84D6A" w:rsidP="00B84D6A">
            <w:pPr>
              <w:rPr>
                <w:i/>
                <w:iCs/>
                <w:color w:val="000000"/>
                <w:sz w:val="18"/>
                <w:szCs w:val="18"/>
                <w:lang w:val="en-GB"/>
              </w:rPr>
            </w:pPr>
          </w:p>
        </w:tc>
        <w:tc>
          <w:tcPr>
            <w:tcW w:w="792" w:type="dxa"/>
            <w:tcBorders>
              <w:top w:val="nil"/>
              <w:left w:val="nil"/>
              <w:bottom w:val="nil"/>
              <w:right w:val="nil"/>
            </w:tcBorders>
            <w:noWrap/>
            <w:vAlign w:val="bottom"/>
            <w:hideMark/>
          </w:tcPr>
          <w:p w14:paraId="18EF404A" w14:textId="77777777" w:rsidR="00B84D6A" w:rsidRPr="003372B9" w:rsidRDefault="00B84D6A" w:rsidP="00B84D6A">
            <w:pPr>
              <w:jc w:val="center"/>
              <w:rPr>
                <w:sz w:val="18"/>
                <w:szCs w:val="18"/>
                <w:lang w:val="en-GB"/>
              </w:rPr>
            </w:pPr>
          </w:p>
        </w:tc>
        <w:tc>
          <w:tcPr>
            <w:tcW w:w="1950" w:type="dxa"/>
            <w:tcBorders>
              <w:top w:val="nil"/>
              <w:left w:val="nil"/>
              <w:bottom w:val="nil"/>
              <w:right w:val="nil"/>
            </w:tcBorders>
            <w:noWrap/>
            <w:vAlign w:val="bottom"/>
            <w:hideMark/>
          </w:tcPr>
          <w:p w14:paraId="2D821380" w14:textId="77777777" w:rsidR="00B84D6A" w:rsidRPr="003372B9" w:rsidRDefault="00B84D6A" w:rsidP="00B84D6A">
            <w:pPr>
              <w:jc w:val="center"/>
              <w:rPr>
                <w:sz w:val="18"/>
                <w:szCs w:val="18"/>
                <w:lang w:val="en-GB"/>
              </w:rPr>
            </w:pPr>
          </w:p>
        </w:tc>
        <w:tc>
          <w:tcPr>
            <w:tcW w:w="770" w:type="dxa"/>
            <w:tcBorders>
              <w:top w:val="nil"/>
              <w:left w:val="nil"/>
              <w:bottom w:val="nil"/>
              <w:right w:val="nil"/>
            </w:tcBorders>
            <w:noWrap/>
            <w:vAlign w:val="bottom"/>
            <w:hideMark/>
          </w:tcPr>
          <w:p w14:paraId="7232ED50" w14:textId="77777777" w:rsidR="00B84D6A" w:rsidRPr="003372B9" w:rsidRDefault="00B84D6A" w:rsidP="00B84D6A">
            <w:pPr>
              <w:jc w:val="center"/>
              <w:rPr>
                <w:sz w:val="18"/>
                <w:szCs w:val="18"/>
                <w:lang w:val="en-GB"/>
              </w:rPr>
            </w:pPr>
          </w:p>
        </w:tc>
        <w:tc>
          <w:tcPr>
            <w:tcW w:w="3425" w:type="dxa"/>
            <w:tcBorders>
              <w:top w:val="nil"/>
              <w:left w:val="nil"/>
              <w:bottom w:val="nil"/>
              <w:right w:val="nil"/>
            </w:tcBorders>
            <w:noWrap/>
            <w:vAlign w:val="bottom"/>
            <w:hideMark/>
          </w:tcPr>
          <w:p w14:paraId="26C711C5" w14:textId="77777777" w:rsidR="00B84D6A" w:rsidRPr="003372B9" w:rsidRDefault="00B84D6A" w:rsidP="00B84D6A">
            <w:pPr>
              <w:jc w:val="center"/>
              <w:rPr>
                <w:sz w:val="18"/>
                <w:szCs w:val="18"/>
                <w:lang w:val="en-GB"/>
              </w:rPr>
            </w:pPr>
          </w:p>
        </w:tc>
      </w:tr>
      <w:tr w:rsidR="00B84D6A" w:rsidRPr="003372B9" w14:paraId="5AFCB5FC" w14:textId="77777777" w:rsidTr="4F6155F2">
        <w:trPr>
          <w:trHeight w:val="295"/>
          <w:jc w:val="center"/>
        </w:trPr>
        <w:tc>
          <w:tcPr>
            <w:tcW w:w="3686" w:type="dxa"/>
            <w:tcBorders>
              <w:top w:val="nil"/>
              <w:left w:val="nil"/>
              <w:bottom w:val="nil"/>
              <w:right w:val="nil"/>
            </w:tcBorders>
            <w:noWrap/>
            <w:vAlign w:val="bottom"/>
            <w:hideMark/>
          </w:tcPr>
          <w:p w14:paraId="5BD34AB2" w14:textId="77777777" w:rsidR="00B84D6A" w:rsidRPr="003372B9" w:rsidRDefault="00B84D6A" w:rsidP="00B5343D">
            <w:pPr>
              <w:ind w:firstLineChars="100" w:firstLine="180"/>
              <w:rPr>
                <w:color w:val="000000"/>
                <w:sz w:val="18"/>
                <w:szCs w:val="18"/>
                <w:lang w:val="en-GB"/>
              </w:rPr>
            </w:pPr>
            <w:r>
              <w:rPr>
                <w:i/>
                <w:iCs/>
                <w:color w:val="000000"/>
                <w:sz w:val="18"/>
                <w:szCs w:val="18"/>
                <w:lang w:val="en-GB"/>
              </w:rPr>
              <w:t>Kleb. aerogenes</w:t>
            </w:r>
            <w:r>
              <w:rPr>
                <w:color w:val="000000"/>
                <w:sz w:val="18"/>
                <w:szCs w:val="18"/>
                <w:lang w:val="en-GB"/>
              </w:rPr>
              <w:t xml:space="preserve"> CECT 684</w:t>
            </w:r>
          </w:p>
        </w:tc>
        <w:tc>
          <w:tcPr>
            <w:tcW w:w="2008" w:type="dxa"/>
            <w:tcBorders>
              <w:top w:val="nil"/>
              <w:left w:val="nil"/>
              <w:bottom w:val="nil"/>
              <w:right w:val="nil"/>
            </w:tcBorders>
            <w:noWrap/>
            <w:vAlign w:val="bottom"/>
            <w:hideMark/>
          </w:tcPr>
          <w:p w14:paraId="53E568A7" w14:textId="77777777" w:rsidR="00B84D6A" w:rsidRPr="003372B9" w:rsidRDefault="00B84D6A" w:rsidP="00B84D6A">
            <w:pPr>
              <w:jc w:val="center"/>
              <w:rPr>
                <w:color w:val="000000"/>
                <w:sz w:val="18"/>
                <w:szCs w:val="18"/>
                <w:lang w:val="en-GB"/>
              </w:rPr>
            </w:pPr>
            <w:r>
              <w:rPr>
                <w:color w:val="000000"/>
                <w:sz w:val="18"/>
                <w:szCs w:val="18"/>
                <w:lang w:val="en-GB"/>
              </w:rPr>
              <w:t>+</w:t>
            </w:r>
          </w:p>
        </w:tc>
        <w:tc>
          <w:tcPr>
            <w:tcW w:w="792" w:type="dxa"/>
            <w:tcBorders>
              <w:top w:val="nil"/>
              <w:left w:val="nil"/>
              <w:bottom w:val="nil"/>
              <w:right w:val="nil"/>
            </w:tcBorders>
            <w:noWrap/>
            <w:vAlign w:val="bottom"/>
            <w:hideMark/>
          </w:tcPr>
          <w:p w14:paraId="22ECAE47" w14:textId="77777777" w:rsidR="00B84D6A" w:rsidRPr="003372B9" w:rsidRDefault="00B84D6A" w:rsidP="00B84D6A">
            <w:pPr>
              <w:jc w:val="center"/>
              <w:rPr>
                <w:color w:val="000000"/>
                <w:sz w:val="18"/>
                <w:szCs w:val="18"/>
                <w:lang w:val="en-GB"/>
              </w:rPr>
            </w:pPr>
            <w:r>
              <w:rPr>
                <w:color w:val="000000"/>
                <w:sz w:val="18"/>
                <w:szCs w:val="18"/>
                <w:lang w:val="en-GB"/>
              </w:rPr>
              <w:t>-</w:t>
            </w:r>
          </w:p>
        </w:tc>
        <w:tc>
          <w:tcPr>
            <w:tcW w:w="1950" w:type="dxa"/>
            <w:tcBorders>
              <w:top w:val="nil"/>
              <w:left w:val="nil"/>
              <w:bottom w:val="nil"/>
              <w:right w:val="nil"/>
            </w:tcBorders>
            <w:noWrap/>
            <w:vAlign w:val="bottom"/>
            <w:hideMark/>
          </w:tcPr>
          <w:p w14:paraId="6CE6AAF0" w14:textId="77777777" w:rsidR="00B84D6A" w:rsidRPr="003372B9" w:rsidRDefault="00B84D6A" w:rsidP="00B84D6A">
            <w:pPr>
              <w:jc w:val="center"/>
              <w:rPr>
                <w:color w:val="000000"/>
                <w:sz w:val="18"/>
                <w:szCs w:val="18"/>
                <w:lang w:val="en-GB"/>
              </w:rPr>
            </w:pPr>
            <w:r>
              <w:rPr>
                <w:color w:val="000000"/>
                <w:sz w:val="18"/>
                <w:szCs w:val="18"/>
                <w:lang w:val="en-GB"/>
              </w:rPr>
              <w:t>+</w:t>
            </w:r>
          </w:p>
        </w:tc>
        <w:tc>
          <w:tcPr>
            <w:tcW w:w="770" w:type="dxa"/>
            <w:tcBorders>
              <w:top w:val="nil"/>
              <w:left w:val="nil"/>
              <w:bottom w:val="nil"/>
              <w:right w:val="nil"/>
            </w:tcBorders>
            <w:noWrap/>
            <w:vAlign w:val="bottom"/>
            <w:hideMark/>
          </w:tcPr>
          <w:p w14:paraId="6838AE86" w14:textId="77777777" w:rsidR="00B84D6A" w:rsidRPr="003372B9" w:rsidRDefault="00B84D6A" w:rsidP="00B84D6A">
            <w:pPr>
              <w:jc w:val="center"/>
              <w:rPr>
                <w:color w:val="000000"/>
                <w:sz w:val="18"/>
                <w:szCs w:val="18"/>
                <w:lang w:val="en-GB"/>
              </w:rPr>
            </w:pPr>
            <w:r>
              <w:rPr>
                <w:color w:val="000000"/>
                <w:sz w:val="18"/>
                <w:szCs w:val="18"/>
                <w:lang w:val="en-GB"/>
              </w:rPr>
              <w:t>-</w:t>
            </w:r>
          </w:p>
        </w:tc>
        <w:tc>
          <w:tcPr>
            <w:tcW w:w="3425" w:type="dxa"/>
            <w:tcBorders>
              <w:top w:val="nil"/>
              <w:left w:val="nil"/>
              <w:bottom w:val="nil"/>
              <w:right w:val="nil"/>
            </w:tcBorders>
            <w:noWrap/>
            <w:vAlign w:val="bottom"/>
            <w:hideMark/>
          </w:tcPr>
          <w:p w14:paraId="618C35E6" w14:textId="77777777" w:rsidR="00B84D6A" w:rsidRPr="003372B9" w:rsidRDefault="00B84D6A" w:rsidP="00B84D6A">
            <w:pPr>
              <w:rPr>
                <w:color w:val="000000"/>
                <w:sz w:val="18"/>
                <w:szCs w:val="18"/>
                <w:lang w:val="en-GB"/>
              </w:rPr>
            </w:pPr>
            <w:r>
              <w:rPr>
                <w:color w:val="000000"/>
                <w:sz w:val="18"/>
                <w:szCs w:val="18"/>
                <w:lang w:val="en-GB"/>
              </w:rPr>
              <w:t>CECT (WDCM 00175)</w:t>
            </w:r>
          </w:p>
        </w:tc>
      </w:tr>
      <w:tr w:rsidR="00B84D6A" w:rsidRPr="003372B9" w14:paraId="43F808F2" w14:textId="77777777" w:rsidTr="4F6155F2">
        <w:trPr>
          <w:trHeight w:val="295"/>
          <w:jc w:val="center"/>
        </w:trPr>
        <w:tc>
          <w:tcPr>
            <w:tcW w:w="3686" w:type="dxa"/>
            <w:tcBorders>
              <w:top w:val="nil"/>
              <w:left w:val="nil"/>
              <w:bottom w:val="nil"/>
              <w:right w:val="nil"/>
            </w:tcBorders>
            <w:noWrap/>
            <w:vAlign w:val="bottom"/>
            <w:hideMark/>
          </w:tcPr>
          <w:p w14:paraId="2BDE60EF" w14:textId="77777777" w:rsidR="00B84D6A" w:rsidRPr="003372B9" w:rsidRDefault="00B84D6A" w:rsidP="00B5343D">
            <w:pPr>
              <w:ind w:firstLineChars="100" w:firstLine="180"/>
              <w:rPr>
                <w:i/>
                <w:iCs/>
                <w:color w:val="000000"/>
                <w:sz w:val="18"/>
                <w:szCs w:val="18"/>
                <w:lang w:val="en-GB"/>
              </w:rPr>
            </w:pPr>
            <w:r>
              <w:rPr>
                <w:i/>
                <w:iCs/>
                <w:color w:val="000000"/>
                <w:sz w:val="18"/>
                <w:szCs w:val="18"/>
                <w:lang w:val="en-GB"/>
              </w:rPr>
              <w:t>Kleb. pneumoniae oxa48+</w:t>
            </w:r>
          </w:p>
        </w:tc>
        <w:tc>
          <w:tcPr>
            <w:tcW w:w="2008" w:type="dxa"/>
            <w:tcBorders>
              <w:top w:val="nil"/>
              <w:left w:val="nil"/>
              <w:bottom w:val="nil"/>
              <w:right w:val="nil"/>
            </w:tcBorders>
            <w:noWrap/>
            <w:vAlign w:val="bottom"/>
            <w:hideMark/>
          </w:tcPr>
          <w:p w14:paraId="0D39893E" w14:textId="77777777" w:rsidR="00B84D6A" w:rsidRPr="003372B9" w:rsidRDefault="00B84D6A" w:rsidP="00B84D6A">
            <w:pPr>
              <w:jc w:val="center"/>
              <w:rPr>
                <w:color w:val="000000"/>
                <w:sz w:val="18"/>
                <w:szCs w:val="18"/>
                <w:lang w:val="en-GB"/>
              </w:rPr>
            </w:pPr>
            <w:r>
              <w:rPr>
                <w:color w:val="000000"/>
                <w:sz w:val="18"/>
                <w:szCs w:val="18"/>
                <w:lang w:val="en-GB"/>
              </w:rPr>
              <w:t>+</w:t>
            </w:r>
          </w:p>
        </w:tc>
        <w:tc>
          <w:tcPr>
            <w:tcW w:w="792" w:type="dxa"/>
            <w:tcBorders>
              <w:top w:val="nil"/>
              <w:left w:val="nil"/>
              <w:bottom w:val="nil"/>
              <w:right w:val="nil"/>
            </w:tcBorders>
            <w:noWrap/>
            <w:vAlign w:val="bottom"/>
            <w:hideMark/>
          </w:tcPr>
          <w:p w14:paraId="7352CFE2" w14:textId="77777777" w:rsidR="00B84D6A" w:rsidRPr="003372B9" w:rsidRDefault="00B84D6A" w:rsidP="00B84D6A">
            <w:pPr>
              <w:jc w:val="center"/>
              <w:rPr>
                <w:color w:val="000000"/>
                <w:sz w:val="18"/>
                <w:szCs w:val="18"/>
                <w:lang w:val="en-GB"/>
              </w:rPr>
            </w:pPr>
            <w:r>
              <w:rPr>
                <w:color w:val="000000"/>
                <w:sz w:val="18"/>
                <w:szCs w:val="18"/>
                <w:lang w:val="en-GB"/>
              </w:rPr>
              <w:t>-</w:t>
            </w:r>
          </w:p>
        </w:tc>
        <w:tc>
          <w:tcPr>
            <w:tcW w:w="1950" w:type="dxa"/>
            <w:tcBorders>
              <w:top w:val="nil"/>
              <w:left w:val="nil"/>
              <w:bottom w:val="nil"/>
              <w:right w:val="nil"/>
            </w:tcBorders>
            <w:noWrap/>
            <w:vAlign w:val="bottom"/>
            <w:hideMark/>
          </w:tcPr>
          <w:p w14:paraId="4AFE126D" w14:textId="77777777" w:rsidR="00B84D6A" w:rsidRPr="003372B9" w:rsidRDefault="00B84D6A" w:rsidP="00B84D6A">
            <w:pPr>
              <w:jc w:val="center"/>
              <w:rPr>
                <w:color w:val="000000"/>
                <w:sz w:val="18"/>
                <w:szCs w:val="18"/>
                <w:lang w:val="en-GB"/>
              </w:rPr>
            </w:pPr>
            <w:r>
              <w:rPr>
                <w:color w:val="000000"/>
                <w:sz w:val="18"/>
                <w:szCs w:val="18"/>
                <w:lang w:val="en-GB"/>
              </w:rPr>
              <w:t>+</w:t>
            </w:r>
          </w:p>
        </w:tc>
        <w:tc>
          <w:tcPr>
            <w:tcW w:w="770" w:type="dxa"/>
            <w:tcBorders>
              <w:top w:val="nil"/>
              <w:left w:val="nil"/>
              <w:bottom w:val="nil"/>
              <w:right w:val="nil"/>
            </w:tcBorders>
            <w:noWrap/>
            <w:vAlign w:val="bottom"/>
            <w:hideMark/>
          </w:tcPr>
          <w:p w14:paraId="1015CD39" w14:textId="77777777" w:rsidR="00B84D6A" w:rsidRPr="003372B9" w:rsidRDefault="00B84D6A" w:rsidP="00B84D6A">
            <w:pPr>
              <w:jc w:val="center"/>
              <w:rPr>
                <w:color w:val="000000"/>
                <w:sz w:val="18"/>
                <w:szCs w:val="18"/>
                <w:lang w:val="en-GB"/>
              </w:rPr>
            </w:pPr>
            <w:r>
              <w:rPr>
                <w:color w:val="000000"/>
                <w:sz w:val="18"/>
                <w:szCs w:val="18"/>
                <w:lang w:val="en-GB"/>
              </w:rPr>
              <w:t>-</w:t>
            </w:r>
          </w:p>
        </w:tc>
        <w:tc>
          <w:tcPr>
            <w:tcW w:w="3425" w:type="dxa"/>
            <w:tcBorders>
              <w:top w:val="nil"/>
              <w:left w:val="nil"/>
              <w:bottom w:val="nil"/>
              <w:right w:val="nil"/>
            </w:tcBorders>
            <w:noWrap/>
            <w:vAlign w:val="bottom"/>
            <w:hideMark/>
          </w:tcPr>
          <w:p w14:paraId="2F6EAD38" w14:textId="311998CB" w:rsidR="00B84D6A" w:rsidRPr="003372B9" w:rsidRDefault="00F463D1" w:rsidP="00B84D6A">
            <w:pPr>
              <w:rPr>
                <w:color w:val="000000"/>
                <w:sz w:val="18"/>
                <w:szCs w:val="18"/>
                <w:lang w:val="en-GB"/>
              </w:rPr>
            </w:pPr>
            <w:r>
              <w:rPr>
                <w:color w:val="000000"/>
                <w:sz w:val="18"/>
                <w:szCs w:val="18"/>
                <w:lang w:val="en-GB"/>
              </w:rPr>
              <w:fldChar w:fldCharType="begin"/>
            </w:r>
            <w:r>
              <w:rPr>
                <w:color w:val="000000"/>
                <w:sz w:val="18"/>
                <w:szCs w:val="18"/>
                <w:lang w:val="en-GB"/>
              </w:rPr>
              <w:instrText xml:space="preserve"> ADDIN ZOTERO_ITEM CSL_CITATION {"citationID":"gEOahxKk","properties":{"unsorted":false,"formattedCitation":"(Brown-Jaque et al., 2018)","plainCitation":"(Brown-Jaque et al., 2018)","noteIndex":0},"citationItems":[{"id":29329,"uris":["http://zotero.org/users/19779089/items/BBMWH5TK"],"itemData":{"id":29329,"type":"article-journal","citation-key":"brownjaque2018","container-title":"International Journal of Antimicrobial Agents","DOI":"10.1016/j.ijantimicag.2017.11.014","issue":"3","note":"citation-key: brownjaque2018","page":"434–442","PMID":"29180282","title":"Antibiotic resistance genes in phage particles isolated from human faeces and induced from clinical bacterial isolates","volume":"51","author":[{"family":"Brown-Jaque","given":"M."},{"family":"Calero-Cáceres","given":"W."},{"family":"Espinal","given":"P."},{"family":"Rodríguez-Navarro","given":"J."},{"family":"Miró","given":"E."},{"family":"González-López","given":"J. J."},{"family":"Cornejo","given":"T."},{"family":"Hurtado","given":"J. C."},{"family":"Navarro","given":"F."},{"family":"Muniesa","given":"M."}],"issued":{"date-parts":[["2018"]]}}}],"schema":"https://github.com/citation-style-language/schema/raw/master/csl-citation.json"} </w:instrText>
            </w:r>
            <w:r>
              <w:rPr>
                <w:color w:val="000000"/>
                <w:sz w:val="18"/>
                <w:szCs w:val="18"/>
                <w:lang w:val="en-GB"/>
              </w:rPr>
              <w:fldChar w:fldCharType="separate"/>
            </w:r>
            <w:r>
              <w:rPr>
                <w:sz w:val="18"/>
                <w:szCs w:val="18"/>
                <w:lang w:val="en-GB"/>
              </w:rPr>
              <w:t>(Brown-Jaque et al., 2018)</w:t>
            </w:r>
            <w:r>
              <w:rPr>
                <w:color w:val="000000"/>
                <w:sz w:val="18"/>
                <w:szCs w:val="18"/>
                <w:lang w:val="en-GB"/>
              </w:rPr>
              <w:fldChar w:fldCharType="end"/>
            </w:r>
          </w:p>
        </w:tc>
      </w:tr>
      <w:tr w:rsidR="00B84D6A" w:rsidRPr="003372B9" w14:paraId="654F3DF2" w14:textId="77777777" w:rsidTr="4F6155F2">
        <w:trPr>
          <w:trHeight w:val="295"/>
          <w:jc w:val="center"/>
        </w:trPr>
        <w:tc>
          <w:tcPr>
            <w:tcW w:w="3686" w:type="dxa"/>
            <w:tcBorders>
              <w:top w:val="nil"/>
              <w:left w:val="nil"/>
              <w:bottom w:val="nil"/>
              <w:right w:val="nil"/>
            </w:tcBorders>
            <w:noWrap/>
            <w:vAlign w:val="bottom"/>
            <w:hideMark/>
          </w:tcPr>
          <w:p w14:paraId="1D7C1052" w14:textId="77777777" w:rsidR="00B84D6A" w:rsidRPr="003372B9" w:rsidRDefault="00B84D6A" w:rsidP="00B5343D">
            <w:pPr>
              <w:rPr>
                <w:i/>
                <w:iCs/>
                <w:color w:val="000000"/>
                <w:sz w:val="18"/>
                <w:szCs w:val="18"/>
                <w:lang w:val="en-GB"/>
              </w:rPr>
            </w:pPr>
            <w:r>
              <w:rPr>
                <w:i/>
                <w:iCs/>
                <w:color w:val="000000"/>
                <w:sz w:val="18"/>
                <w:szCs w:val="18"/>
                <w:lang w:val="en-GB"/>
              </w:rPr>
              <w:t>Kluyvera ascorbata CECT 891</w:t>
            </w:r>
          </w:p>
        </w:tc>
        <w:tc>
          <w:tcPr>
            <w:tcW w:w="2008" w:type="dxa"/>
            <w:tcBorders>
              <w:top w:val="nil"/>
              <w:left w:val="nil"/>
              <w:bottom w:val="nil"/>
              <w:right w:val="nil"/>
            </w:tcBorders>
            <w:noWrap/>
            <w:vAlign w:val="bottom"/>
            <w:hideMark/>
          </w:tcPr>
          <w:p w14:paraId="3B8ADC8D" w14:textId="77777777" w:rsidR="00B84D6A" w:rsidRPr="003372B9" w:rsidRDefault="00B84D6A" w:rsidP="00B84D6A">
            <w:pPr>
              <w:jc w:val="center"/>
              <w:rPr>
                <w:color w:val="000000"/>
                <w:sz w:val="18"/>
                <w:szCs w:val="18"/>
                <w:lang w:val="en-GB"/>
              </w:rPr>
            </w:pPr>
            <w:r>
              <w:rPr>
                <w:color w:val="000000"/>
                <w:sz w:val="18"/>
                <w:szCs w:val="18"/>
                <w:lang w:val="en-GB"/>
              </w:rPr>
              <w:t>+</w:t>
            </w:r>
          </w:p>
        </w:tc>
        <w:tc>
          <w:tcPr>
            <w:tcW w:w="792" w:type="dxa"/>
            <w:tcBorders>
              <w:top w:val="nil"/>
              <w:left w:val="nil"/>
              <w:bottom w:val="nil"/>
              <w:right w:val="nil"/>
            </w:tcBorders>
            <w:noWrap/>
            <w:vAlign w:val="bottom"/>
            <w:hideMark/>
          </w:tcPr>
          <w:p w14:paraId="593BE0FE" w14:textId="77777777" w:rsidR="00B84D6A" w:rsidRPr="003372B9" w:rsidRDefault="00B84D6A" w:rsidP="00B84D6A">
            <w:pPr>
              <w:jc w:val="center"/>
              <w:rPr>
                <w:color w:val="000000"/>
                <w:sz w:val="18"/>
                <w:szCs w:val="18"/>
                <w:lang w:val="en-GB"/>
              </w:rPr>
            </w:pPr>
            <w:r>
              <w:rPr>
                <w:color w:val="000000"/>
                <w:sz w:val="18"/>
                <w:szCs w:val="18"/>
                <w:lang w:val="en-GB"/>
              </w:rPr>
              <w:t>-</w:t>
            </w:r>
          </w:p>
        </w:tc>
        <w:tc>
          <w:tcPr>
            <w:tcW w:w="1950" w:type="dxa"/>
            <w:tcBorders>
              <w:top w:val="nil"/>
              <w:left w:val="nil"/>
              <w:bottom w:val="nil"/>
              <w:right w:val="nil"/>
            </w:tcBorders>
            <w:noWrap/>
            <w:vAlign w:val="bottom"/>
            <w:hideMark/>
          </w:tcPr>
          <w:p w14:paraId="69334CF5" w14:textId="77777777" w:rsidR="00B84D6A" w:rsidRPr="003372B9" w:rsidRDefault="00B84D6A" w:rsidP="00B84D6A">
            <w:pPr>
              <w:jc w:val="center"/>
              <w:rPr>
                <w:color w:val="000000"/>
                <w:sz w:val="18"/>
                <w:szCs w:val="18"/>
                <w:lang w:val="en-GB"/>
              </w:rPr>
            </w:pPr>
            <w:r>
              <w:rPr>
                <w:color w:val="000000"/>
                <w:sz w:val="18"/>
                <w:szCs w:val="18"/>
                <w:lang w:val="en-GB"/>
              </w:rPr>
              <w:t>+</w:t>
            </w:r>
          </w:p>
        </w:tc>
        <w:tc>
          <w:tcPr>
            <w:tcW w:w="770" w:type="dxa"/>
            <w:tcBorders>
              <w:top w:val="nil"/>
              <w:left w:val="nil"/>
              <w:bottom w:val="nil"/>
              <w:right w:val="nil"/>
            </w:tcBorders>
            <w:noWrap/>
            <w:vAlign w:val="bottom"/>
            <w:hideMark/>
          </w:tcPr>
          <w:p w14:paraId="701C474A" w14:textId="77777777" w:rsidR="00B84D6A" w:rsidRPr="003372B9" w:rsidRDefault="00B84D6A" w:rsidP="00B84D6A">
            <w:pPr>
              <w:jc w:val="center"/>
              <w:rPr>
                <w:color w:val="000000"/>
                <w:sz w:val="18"/>
                <w:szCs w:val="18"/>
                <w:lang w:val="en-GB"/>
              </w:rPr>
            </w:pPr>
            <w:r>
              <w:rPr>
                <w:color w:val="000000"/>
                <w:sz w:val="18"/>
                <w:szCs w:val="18"/>
                <w:lang w:val="en-GB"/>
              </w:rPr>
              <w:t>-</w:t>
            </w:r>
          </w:p>
        </w:tc>
        <w:tc>
          <w:tcPr>
            <w:tcW w:w="3425" w:type="dxa"/>
            <w:tcBorders>
              <w:top w:val="nil"/>
              <w:left w:val="nil"/>
              <w:bottom w:val="nil"/>
              <w:right w:val="nil"/>
            </w:tcBorders>
            <w:noWrap/>
            <w:vAlign w:val="bottom"/>
            <w:hideMark/>
          </w:tcPr>
          <w:p w14:paraId="07E7DE7E" w14:textId="77777777" w:rsidR="00B84D6A" w:rsidRPr="003372B9" w:rsidRDefault="00B84D6A" w:rsidP="00B84D6A">
            <w:pPr>
              <w:rPr>
                <w:color w:val="000000"/>
                <w:sz w:val="18"/>
                <w:szCs w:val="18"/>
                <w:lang w:val="en-GB"/>
              </w:rPr>
            </w:pPr>
            <w:r>
              <w:rPr>
                <w:color w:val="000000"/>
                <w:sz w:val="18"/>
                <w:szCs w:val="18"/>
                <w:lang w:val="en-GB"/>
              </w:rPr>
              <w:t>CECT</w:t>
            </w:r>
          </w:p>
        </w:tc>
      </w:tr>
    </w:tbl>
    <w:p w14:paraId="332E3DAD" w14:textId="52142909" w:rsidR="00667D4A" w:rsidRPr="007E4EDA" w:rsidRDefault="00667D4A" w:rsidP="00667D4A">
      <w:pPr>
        <w:spacing w:after="80" w:line="360" w:lineRule="auto"/>
        <w:rPr>
          <w:lang w:val="en-GB"/>
        </w:rPr>
      </w:pPr>
      <w:r>
        <w:rPr>
          <w:lang w:val="en-GB"/>
        </w:rPr>
        <w:br w:type="page"/>
      </w:r>
    </w:p>
    <w:p w14:paraId="0BE747EB" w14:textId="0001C16C" w:rsidR="00667D4A" w:rsidRPr="007E4EDA" w:rsidRDefault="00667D4A" w:rsidP="00667D4A">
      <w:pPr>
        <w:spacing w:after="120" w:line="360" w:lineRule="auto"/>
        <w:jc w:val="both"/>
        <w:rPr>
          <w:sz w:val="24"/>
          <w:szCs w:val="24"/>
          <w:lang w:val="en-GB"/>
        </w:rPr>
      </w:pPr>
      <w:r>
        <w:rPr>
          <w:b/>
          <w:bCs/>
          <w:sz w:val="24"/>
          <w:szCs w:val="24"/>
          <w:lang w:val="en-GB"/>
        </w:rPr>
        <w:lastRenderedPageBreak/>
        <w:t>Table 2.</w:t>
      </w:r>
      <w:r>
        <w:rPr>
          <w:sz w:val="24"/>
          <w:szCs w:val="24"/>
          <w:lang w:val="en-GB"/>
        </w:rPr>
        <w:t xml:space="preserve"> Specificity (exclusivity) of the ENUMERA®-Coli100 and ISO 9308-2 reference method evaluated using 10 non-coliform strains. Results are expressed as positive (+) or negative (−) for total coliform detection (β-galactosidase activity) and </w:t>
      </w:r>
      <w:r>
        <w:rPr>
          <w:i/>
          <w:iCs/>
          <w:sz w:val="24"/>
          <w:szCs w:val="24"/>
          <w:lang w:val="en-GB"/>
        </w:rPr>
        <w:t xml:space="preserve">E. coli </w:t>
      </w:r>
      <w:r>
        <w:rPr>
          <w:sz w:val="24"/>
          <w:szCs w:val="24"/>
          <w:lang w:val="en-GB"/>
        </w:rPr>
        <w:t>detection (β-D-glucuronidase activity).</w:t>
      </w:r>
    </w:p>
    <w:p w14:paraId="42BEC1E9" w14:textId="637CB8BC" w:rsidR="00667D4A" w:rsidRPr="007E4EDA" w:rsidRDefault="00667D4A" w:rsidP="00667D4A">
      <w:pPr>
        <w:spacing w:after="120" w:line="360" w:lineRule="auto"/>
        <w:jc w:val="both"/>
        <w:rPr>
          <w:sz w:val="24"/>
          <w:szCs w:val="24"/>
          <w:lang w:val="en-GB"/>
        </w:rPr>
      </w:pPr>
    </w:p>
    <w:tbl>
      <w:tblPr>
        <w:tblW w:w="12560" w:type="dxa"/>
        <w:jc w:val="center"/>
        <w:tblCellMar>
          <w:left w:w="70" w:type="dxa"/>
          <w:right w:w="70" w:type="dxa"/>
        </w:tblCellMar>
        <w:tblLook w:val="04A0" w:firstRow="1" w:lastRow="0" w:firstColumn="1" w:lastColumn="0" w:noHBand="0" w:noVBand="1"/>
      </w:tblPr>
      <w:tblGrid>
        <w:gridCol w:w="3180"/>
        <w:gridCol w:w="1750"/>
        <w:gridCol w:w="690"/>
        <w:gridCol w:w="2008"/>
        <w:gridCol w:w="792"/>
        <w:gridCol w:w="4140"/>
      </w:tblGrid>
      <w:tr w:rsidR="009A31D3" w:rsidRPr="007E4EDA" w14:paraId="1F1767D5" w14:textId="77777777" w:rsidTr="00B5343D">
        <w:trPr>
          <w:trHeight w:val="295"/>
          <w:jc w:val="center"/>
        </w:trPr>
        <w:tc>
          <w:tcPr>
            <w:tcW w:w="3180" w:type="dxa"/>
            <w:tcBorders>
              <w:top w:val="nil"/>
              <w:left w:val="nil"/>
              <w:bottom w:val="nil"/>
              <w:right w:val="nil"/>
            </w:tcBorders>
            <w:noWrap/>
            <w:vAlign w:val="bottom"/>
            <w:hideMark/>
          </w:tcPr>
          <w:p w14:paraId="0752ED2B" w14:textId="77777777" w:rsidR="009A31D3" w:rsidRPr="007E4EDA" w:rsidRDefault="009A31D3" w:rsidP="009A31D3">
            <w:pPr>
              <w:rPr>
                <w:sz w:val="24"/>
                <w:szCs w:val="24"/>
                <w:lang w:val="en-GB"/>
              </w:rPr>
            </w:pPr>
          </w:p>
        </w:tc>
        <w:tc>
          <w:tcPr>
            <w:tcW w:w="2440" w:type="dxa"/>
            <w:gridSpan w:val="2"/>
            <w:tcBorders>
              <w:top w:val="nil"/>
              <w:left w:val="nil"/>
              <w:bottom w:val="single" w:sz="4" w:space="0" w:color="auto"/>
              <w:right w:val="nil"/>
            </w:tcBorders>
            <w:noWrap/>
            <w:vAlign w:val="bottom"/>
            <w:hideMark/>
          </w:tcPr>
          <w:p w14:paraId="13613466" w14:textId="77777777" w:rsidR="009A31D3" w:rsidRPr="007E4EDA" w:rsidRDefault="009A31D3" w:rsidP="009A31D3">
            <w:pPr>
              <w:jc w:val="center"/>
              <w:rPr>
                <w:b/>
                <w:bCs/>
                <w:color w:val="000000"/>
                <w:sz w:val="22"/>
                <w:szCs w:val="22"/>
                <w:lang w:val="en-GB"/>
              </w:rPr>
            </w:pPr>
            <w:r>
              <w:rPr>
                <w:b/>
                <w:bCs/>
                <w:color w:val="000000"/>
                <w:sz w:val="22"/>
                <w:szCs w:val="22"/>
                <w:lang w:val="en-GB"/>
              </w:rPr>
              <w:t>ENUMERA®-Coli100</w:t>
            </w:r>
          </w:p>
        </w:tc>
        <w:tc>
          <w:tcPr>
            <w:tcW w:w="2800" w:type="dxa"/>
            <w:gridSpan w:val="2"/>
            <w:tcBorders>
              <w:top w:val="nil"/>
              <w:left w:val="nil"/>
              <w:bottom w:val="single" w:sz="4" w:space="0" w:color="auto"/>
              <w:right w:val="nil"/>
            </w:tcBorders>
            <w:noWrap/>
            <w:vAlign w:val="bottom"/>
            <w:hideMark/>
          </w:tcPr>
          <w:p w14:paraId="1323D781" w14:textId="7AC22AE2" w:rsidR="009A31D3" w:rsidRPr="007E4EDA" w:rsidRDefault="00B5343D" w:rsidP="009A31D3">
            <w:pPr>
              <w:jc w:val="center"/>
              <w:rPr>
                <w:b/>
                <w:bCs/>
                <w:color w:val="000000"/>
                <w:sz w:val="22"/>
                <w:szCs w:val="22"/>
                <w:lang w:val="en-GB"/>
              </w:rPr>
            </w:pPr>
            <w:r>
              <w:rPr>
                <w:b/>
                <w:bCs/>
                <w:color w:val="000000"/>
                <w:sz w:val="22"/>
                <w:szCs w:val="22"/>
                <w:lang w:val="en-GB"/>
              </w:rPr>
              <w:t>Reference method</w:t>
            </w:r>
          </w:p>
        </w:tc>
        <w:tc>
          <w:tcPr>
            <w:tcW w:w="4140" w:type="dxa"/>
            <w:tcBorders>
              <w:top w:val="nil"/>
              <w:left w:val="nil"/>
              <w:bottom w:val="nil"/>
              <w:right w:val="nil"/>
            </w:tcBorders>
            <w:noWrap/>
            <w:vAlign w:val="bottom"/>
            <w:hideMark/>
          </w:tcPr>
          <w:p w14:paraId="610F32A9" w14:textId="77777777" w:rsidR="009A31D3" w:rsidRPr="007E4EDA" w:rsidRDefault="009A31D3" w:rsidP="009A31D3">
            <w:pPr>
              <w:jc w:val="center"/>
              <w:rPr>
                <w:b/>
                <w:bCs/>
                <w:color w:val="000000"/>
                <w:sz w:val="22"/>
                <w:szCs w:val="22"/>
                <w:lang w:val="en-GB"/>
              </w:rPr>
            </w:pPr>
          </w:p>
        </w:tc>
      </w:tr>
      <w:tr w:rsidR="009A31D3" w:rsidRPr="007E4EDA" w14:paraId="446057F3" w14:textId="77777777" w:rsidTr="00B5343D">
        <w:trPr>
          <w:trHeight w:val="295"/>
          <w:jc w:val="center"/>
        </w:trPr>
        <w:tc>
          <w:tcPr>
            <w:tcW w:w="3180" w:type="dxa"/>
            <w:tcBorders>
              <w:top w:val="nil"/>
              <w:left w:val="nil"/>
              <w:bottom w:val="single" w:sz="4" w:space="0" w:color="auto"/>
              <w:right w:val="nil"/>
            </w:tcBorders>
            <w:noWrap/>
            <w:vAlign w:val="bottom"/>
            <w:hideMark/>
          </w:tcPr>
          <w:p w14:paraId="5FF71DDC" w14:textId="77777777" w:rsidR="009A31D3" w:rsidRPr="007E4EDA" w:rsidRDefault="009A31D3" w:rsidP="00B5343D">
            <w:pPr>
              <w:jc w:val="center"/>
              <w:rPr>
                <w:b/>
                <w:bCs/>
                <w:color w:val="000000"/>
                <w:sz w:val="22"/>
                <w:szCs w:val="22"/>
                <w:lang w:val="en-GB"/>
              </w:rPr>
            </w:pPr>
            <w:r>
              <w:rPr>
                <w:b/>
                <w:bCs/>
                <w:color w:val="000000"/>
                <w:sz w:val="22"/>
                <w:szCs w:val="22"/>
                <w:lang w:val="en-GB"/>
              </w:rPr>
              <w:t>Strain</w:t>
            </w:r>
          </w:p>
        </w:tc>
        <w:tc>
          <w:tcPr>
            <w:tcW w:w="1750" w:type="dxa"/>
            <w:tcBorders>
              <w:top w:val="single" w:sz="4" w:space="0" w:color="auto"/>
              <w:left w:val="nil"/>
              <w:bottom w:val="single" w:sz="4" w:space="0" w:color="auto"/>
              <w:right w:val="nil"/>
            </w:tcBorders>
            <w:noWrap/>
            <w:vAlign w:val="bottom"/>
            <w:hideMark/>
          </w:tcPr>
          <w:p w14:paraId="264165B4" w14:textId="77777777" w:rsidR="009A31D3" w:rsidRPr="007E4EDA" w:rsidRDefault="009A31D3" w:rsidP="009A31D3">
            <w:pPr>
              <w:jc w:val="center"/>
              <w:rPr>
                <w:b/>
                <w:bCs/>
                <w:color w:val="000000"/>
                <w:sz w:val="22"/>
                <w:szCs w:val="22"/>
                <w:lang w:val="en-GB"/>
              </w:rPr>
            </w:pPr>
            <w:r>
              <w:rPr>
                <w:b/>
                <w:bCs/>
                <w:color w:val="000000"/>
                <w:sz w:val="22"/>
                <w:szCs w:val="22"/>
                <w:lang w:val="en-GB"/>
              </w:rPr>
              <w:t>Total Coliforms</w:t>
            </w:r>
          </w:p>
        </w:tc>
        <w:tc>
          <w:tcPr>
            <w:tcW w:w="690" w:type="dxa"/>
            <w:tcBorders>
              <w:top w:val="single" w:sz="4" w:space="0" w:color="auto"/>
              <w:left w:val="nil"/>
              <w:bottom w:val="single" w:sz="4" w:space="0" w:color="auto"/>
              <w:right w:val="nil"/>
            </w:tcBorders>
            <w:noWrap/>
            <w:vAlign w:val="bottom"/>
            <w:hideMark/>
          </w:tcPr>
          <w:p w14:paraId="35E769A2" w14:textId="77777777" w:rsidR="009A31D3" w:rsidRPr="007E4EDA" w:rsidRDefault="009A31D3" w:rsidP="009A31D3">
            <w:pPr>
              <w:jc w:val="center"/>
              <w:rPr>
                <w:b/>
                <w:bCs/>
                <w:i/>
                <w:iCs/>
                <w:color w:val="000000"/>
                <w:sz w:val="22"/>
                <w:szCs w:val="22"/>
                <w:lang w:val="en-GB"/>
              </w:rPr>
            </w:pPr>
            <w:r>
              <w:rPr>
                <w:b/>
                <w:bCs/>
                <w:i/>
                <w:iCs/>
                <w:color w:val="000000"/>
                <w:sz w:val="22"/>
                <w:szCs w:val="22"/>
                <w:lang w:val="en-GB"/>
              </w:rPr>
              <w:t>E. coli</w:t>
            </w:r>
          </w:p>
        </w:tc>
        <w:tc>
          <w:tcPr>
            <w:tcW w:w="2008" w:type="dxa"/>
            <w:tcBorders>
              <w:top w:val="single" w:sz="4" w:space="0" w:color="auto"/>
              <w:left w:val="nil"/>
              <w:bottom w:val="single" w:sz="4" w:space="0" w:color="auto"/>
              <w:right w:val="nil"/>
            </w:tcBorders>
            <w:noWrap/>
            <w:vAlign w:val="bottom"/>
            <w:hideMark/>
          </w:tcPr>
          <w:p w14:paraId="09CC2B05" w14:textId="77777777" w:rsidR="009A31D3" w:rsidRPr="007E4EDA" w:rsidRDefault="009A31D3" w:rsidP="009A31D3">
            <w:pPr>
              <w:jc w:val="center"/>
              <w:rPr>
                <w:b/>
                <w:bCs/>
                <w:color w:val="000000"/>
                <w:sz w:val="22"/>
                <w:szCs w:val="22"/>
                <w:lang w:val="en-GB"/>
              </w:rPr>
            </w:pPr>
            <w:r>
              <w:rPr>
                <w:b/>
                <w:bCs/>
                <w:color w:val="000000"/>
                <w:sz w:val="22"/>
                <w:szCs w:val="22"/>
                <w:lang w:val="en-GB"/>
              </w:rPr>
              <w:t>Total Coliforms</w:t>
            </w:r>
          </w:p>
        </w:tc>
        <w:tc>
          <w:tcPr>
            <w:tcW w:w="792" w:type="dxa"/>
            <w:tcBorders>
              <w:top w:val="single" w:sz="4" w:space="0" w:color="auto"/>
              <w:left w:val="nil"/>
              <w:bottom w:val="single" w:sz="4" w:space="0" w:color="auto"/>
              <w:right w:val="nil"/>
            </w:tcBorders>
            <w:noWrap/>
            <w:vAlign w:val="bottom"/>
            <w:hideMark/>
          </w:tcPr>
          <w:p w14:paraId="789B1702" w14:textId="77777777" w:rsidR="009A31D3" w:rsidRPr="007E4EDA" w:rsidRDefault="009A31D3" w:rsidP="009A31D3">
            <w:pPr>
              <w:jc w:val="center"/>
              <w:rPr>
                <w:b/>
                <w:bCs/>
                <w:i/>
                <w:iCs/>
                <w:color w:val="000000"/>
                <w:sz w:val="22"/>
                <w:szCs w:val="22"/>
                <w:lang w:val="en-GB"/>
              </w:rPr>
            </w:pPr>
            <w:r>
              <w:rPr>
                <w:b/>
                <w:bCs/>
                <w:i/>
                <w:iCs/>
                <w:color w:val="000000"/>
                <w:sz w:val="22"/>
                <w:szCs w:val="22"/>
                <w:lang w:val="en-GB"/>
              </w:rPr>
              <w:t>E. coli</w:t>
            </w:r>
          </w:p>
        </w:tc>
        <w:tc>
          <w:tcPr>
            <w:tcW w:w="4140" w:type="dxa"/>
            <w:tcBorders>
              <w:top w:val="nil"/>
              <w:left w:val="nil"/>
              <w:bottom w:val="single" w:sz="4" w:space="0" w:color="auto"/>
              <w:right w:val="nil"/>
            </w:tcBorders>
            <w:noWrap/>
            <w:vAlign w:val="bottom"/>
            <w:hideMark/>
          </w:tcPr>
          <w:p w14:paraId="70CEB0C5" w14:textId="77777777" w:rsidR="009A31D3" w:rsidRPr="007E4EDA" w:rsidRDefault="009A31D3" w:rsidP="009A31D3">
            <w:pPr>
              <w:jc w:val="center"/>
              <w:rPr>
                <w:b/>
                <w:bCs/>
                <w:i/>
                <w:iCs/>
                <w:color w:val="000000"/>
                <w:sz w:val="22"/>
                <w:szCs w:val="22"/>
                <w:lang w:val="en-GB"/>
              </w:rPr>
            </w:pPr>
            <w:r>
              <w:rPr>
                <w:b/>
                <w:bCs/>
                <w:i/>
                <w:iCs/>
                <w:color w:val="000000"/>
                <w:sz w:val="22"/>
                <w:szCs w:val="22"/>
                <w:lang w:val="en-GB"/>
              </w:rPr>
              <w:t>SOURCE</w:t>
            </w:r>
          </w:p>
        </w:tc>
      </w:tr>
      <w:tr w:rsidR="009A31D3" w:rsidRPr="007E4EDA" w14:paraId="30D886C3" w14:textId="77777777" w:rsidTr="00B5343D">
        <w:trPr>
          <w:trHeight w:val="295"/>
          <w:jc w:val="center"/>
        </w:trPr>
        <w:tc>
          <w:tcPr>
            <w:tcW w:w="3180" w:type="dxa"/>
            <w:tcBorders>
              <w:top w:val="nil"/>
              <w:left w:val="nil"/>
              <w:bottom w:val="nil"/>
              <w:right w:val="nil"/>
            </w:tcBorders>
            <w:noWrap/>
            <w:vAlign w:val="bottom"/>
            <w:hideMark/>
          </w:tcPr>
          <w:p w14:paraId="3F1ACBC9" w14:textId="1536E56B" w:rsidR="009A31D3" w:rsidRPr="007E4EDA" w:rsidRDefault="009A31D3" w:rsidP="009A31D3">
            <w:pPr>
              <w:rPr>
                <w:i/>
                <w:iCs/>
                <w:color w:val="000000"/>
                <w:sz w:val="22"/>
                <w:szCs w:val="22"/>
                <w:lang w:val="en-GB"/>
              </w:rPr>
            </w:pPr>
            <w:r>
              <w:rPr>
                <w:i/>
                <w:iCs/>
                <w:color w:val="000000"/>
                <w:sz w:val="22"/>
                <w:szCs w:val="22"/>
                <w:lang w:val="en-GB"/>
              </w:rPr>
              <w:t>Aeromonas sp. qnrS2 P1D3</w:t>
            </w:r>
          </w:p>
        </w:tc>
        <w:tc>
          <w:tcPr>
            <w:tcW w:w="1750" w:type="dxa"/>
            <w:tcBorders>
              <w:top w:val="nil"/>
              <w:left w:val="nil"/>
              <w:bottom w:val="nil"/>
              <w:right w:val="nil"/>
            </w:tcBorders>
            <w:noWrap/>
            <w:vAlign w:val="bottom"/>
            <w:hideMark/>
          </w:tcPr>
          <w:p w14:paraId="0208B4F1" w14:textId="77777777" w:rsidR="009A31D3" w:rsidRPr="007E4EDA" w:rsidRDefault="009A31D3" w:rsidP="009A31D3">
            <w:pPr>
              <w:jc w:val="center"/>
              <w:rPr>
                <w:color w:val="000000"/>
                <w:sz w:val="22"/>
                <w:szCs w:val="22"/>
                <w:lang w:val="en-GB"/>
              </w:rPr>
            </w:pPr>
            <w:r>
              <w:rPr>
                <w:color w:val="000000"/>
                <w:sz w:val="22"/>
                <w:szCs w:val="22"/>
                <w:lang w:val="en-GB"/>
              </w:rPr>
              <w:t>-</w:t>
            </w:r>
          </w:p>
        </w:tc>
        <w:tc>
          <w:tcPr>
            <w:tcW w:w="690" w:type="dxa"/>
            <w:tcBorders>
              <w:top w:val="nil"/>
              <w:left w:val="nil"/>
              <w:bottom w:val="nil"/>
              <w:right w:val="nil"/>
            </w:tcBorders>
            <w:noWrap/>
            <w:vAlign w:val="bottom"/>
            <w:hideMark/>
          </w:tcPr>
          <w:p w14:paraId="231229A4" w14:textId="77777777" w:rsidR="009A31D3" w:rsidRPr="007E4EDA" w:rsidRDefault="009A31D3" w:rsidP="009A31D3">
            <w:pPr>
              <w:jc w:val="center"/>
              <w:rPr>
                <w:color w:val="000000"/>
                <w:sz w:val="22"/>
                <w:szCs w:val="22"/>
                <w:lang w:val="en-GB"/>
              </w:rPr>
            </w:pPr>
            <w:r>
              <w:rPr>
                <w:color w:val="000000"/>
                <w:sz w:val="22"/>
                <w:szCs w:val="22"/>
                <w:lang w:val="en-GB"/>
              </w:rPr>
              <w:t>-</w:t>
            </w:r>
          </w:p>
        </w:tc>
        <w:tc>
          <w:tcPr>
            <w:tcW w:w="2008" w:type="dxa"/>
            <w:tcBorders>
              <w:top w:val="nil"/>
              <w:left w:val="nil"/>
              <w:bottom w:val="nil"/>
              <w:right w:val="nil"/>
            </w:tcBorders>
            <w:noWrap/>
            <w:vAlign w:val="bottom"/>
            <w:hideMark/>
          </w:tcPr>
          <w:p w14:paraId="0AD432E1" w14:textId="77777777" w:rsidR="009A31D3" w:rsidRPr="007E4EDA" w:rsidRDefault="009A31D3" w:rsidP="009A31D3">
            <w:pPr>
              <w:jc w:val="center"/>
              <w:rPr>
                <w:color w:val="000000"/>
                <w:sz w:val="22"/>
                <w:szCs w:val="22"/>
                <w:lang w:val="en-GB"/>
              </w:rPr>
            </w:pPr>
            <w:r>
              <w:rPr>
                <w:color w:val="000000"/>
                <w:sz w:val="22"/>
                <w:szCs w:val="22"/>
                <w:lang w:val="en-GB"/>
              </w:rPr>
              <w:t>-</w:t>
            </w:r>
          </w:p>
        </w:tc>
        <w:tc>
          <w:tcPr>
            <w:tcW w:w="792" w:type="dxa"/>
            <w:tcBorders>
              <w:top w:val="nil"/>
              <w:left w:val="nil"/>
              <w:bottom w:val="nil"/>
              <w:right w:val="nil"/>
            </w:tcBorders>
            <w:noWrap/>
            <w:vAlign w:val="bottom"/>
            <w:hideMark/>
          </w:tcPr>
          <w:p w14:paraId="09B091FF" w14:textId="77777777" w:rsidR="009A31D3" w:rsidRPr="007E4EDA" w:rsidRDefault="009A31D3" w:rsidP="009A31D3">
            <w:pPr>
              <w:jc w:val="center"/>
              <w:rPr>
                <w:color w:val="000000"/>
                <w:sz w:val="22"/>
                <w:szCs w:val="22"/>
                <w:lang w:val="en-GB"/>
              </w:rPr>
            </w:pPr>
            <w:r>
              <w:rPr>
                <w:color w:val="000000"/>
                <w:sz w:val="22"/>
                <w:szCs w:val="22"/>
                <w:lang w:val="en-GB"/>
              </w:rPr>
              <w:t>-</w:t>
            </w:r>
          </w:p>
        </w:tc>
        <w:tc>
          <w:tcPr>
            <w:tcW w:w="4140" w:type="dxa"/>
            <w:tcBorders>
              <w:top w:val="nil"/>
              <w:left w:val="nil"/>
              <w:bottom w:val="nil"/>
              <w:right w:val="nil"/>
            </w:tcBorders>
            <w:noWrap/>
            <w:vAlign w:val="bottom"/>
            <w:hideMark/>
          </w:tcPr>
          <w:p w14:paraId="55DD9636" w14:textId="3E076A8E" w:rsidR="009A31D3" w:rsidRPr="007E4EDA" w:rsidRDefault="00F463D1" w:rsidP="009A31D3">
            <w:pPr>
              <w:rPr>
                <w:sz w:val="22"/>
                <w:szCs w:val="22"/>
                <w:lang w:val="en-GB"/>
              </w:rPr>
            </w:pPr>
            <w:r>
              <w:rPr>
                <w:sz w:val="22"/>
                <w:szCs w:val="22"/>
                <w:lang w:val="en-GB"/>
              </w:rPr>
              <w:fldChar w:fldCharType="begin"/>
            </w:r>
            <w:r>
              <w:rPr>
                <w:sz w:val="22"/>
                <w:szCs w:val="22"/>
                <w:lang w:val="en-GB"/>
              </w:rPr>
              <w:instrText xml:space="preserve"> ADDIN ZOTERO_ITEM CSL_CITATION {"citationID":"AsN3VZXp","properties":{"unsorted":false,"formattedCitation":"(Marti et al., 2013)","plainCitation":"(Marti et al., 2013)","noteIndex":0},"citationItems":[{"id":29319,"uris":["http://zotero.org/users/19779089/items/Q885EPF7"],"itemData":{"id":29319,"type":"article-journal","abstract":"Antibiotic resistance represents a global health problem, requiring better understanding of the ecology of antibiotic resistance genes (ARGs), their selection and their spread in the environment. Antibiotics are constantly released to the environment through wastewater treatment plant (WWTP) effluents. We investigated, therefore, the effect of these discharges on the prevalence of ARGs and bacterial community composition in biofilm and sediment samples of a receiving river. We used culture-independent approaches such as quantitative PCR to determine the prevalence of eleven ARGs and 16S rRNA gene-based pyrosequencing to examine the composition of bacterial communities. Concentration of antibiotics in WWTP influent and effluent were also determined. ARGs such as qnrS, blaTEM, blaCTX-M, blaSHV, erm(B), sul(I), sul(II), tet(O) and tet(W) were detected in all biofilm and sediment samples analyzed. Moreover, we observed a significant increase in the relative abundance of ARGs in biofilm samples collected downstream of the WWTP discharge. We also found significant differences with respect to community structure and composition between upstream and downstream samples. Therefore, our results indicate that WWTP discharges may contribute to the spread of ARGs into the environment and may also impact on the bacterial communities of the receiving river.","citation-key":"martiPrevalenceAntibioticResistance","container-title":"PLOS ONE","DOI":"10.1371/journal.pone.0078906","ISSN":"1932-6203","issue":"10","journalAbbreviation":"PLoS ONE","language":"en","note":"citation-key: marti2013","page":"e78906","source":"PLoS Journals","title":"Prevalence of Antibiotic Resistance Genes and Bacterial Community Composition in a River Influenced by a Wastewater Treatment Plant","URL":"https://journals.plos.org/plosone/article?id=10.1371/journal.pone.0078906","volume":"8","author":[{"family":"Marti","given":"Elisabet"},{"family":"Jofre","given":"Juan"},{"family":"Balcazar","given":"Jose Luis"}],"accessed":{"date-parts":[["2026",5,29]]},"issued":{"date-parts":[["2013"]]}}}],"schema":"https://github.com/citation-style-language/schema/raw/master/csl-citation.json"} </w:instrText>
            </w:r>
            <w:r>
              <w:rPr>
                <w:sz w:val="22"/>
                <w:szCs w:val="22"/>
                <w:lang w:val="en-GB"/>
              </w:rPr>
              <w:fldChar w:fldCharType="separate"/>
            </w:r>
            <w:r>
              <w:rPr>
                <w:sz w:val="22"/>
                <w:lang w:val="en-GB"/>
              </w:rPr>
              <w:t>(Marti et al., 2013)</w:t>
            </w:r>
            <w:r>
              <w:rPr>
                <w:sz w:val="22"/>
                <w:szCs w:val="22"/>
                <w:lang w:val="en-GB"/>
              </w:rPr>
              <w:fldChar w:fldCharType="end"/>
            </w:r>
          </w:p>
        </w:tc>
      </w:tr>
      <w:tr w:rsidR="009A31D3" w:rsidRPr="007E4EDA" w14:paraId="4DA18017" w14:textId="77777777" w:rsidTr="00B5343D">
        <w:trPr>
          <w:trHeight w:val="295"/>
          <w:jc w:val="center"/>
        </w:trPr>
        <w:tc>
          <w:tcPr>
            <w:tcW w:w="3180" w:type="dxa"/>
            <w:tcBorders>
              <w:top w:val="nil"/>
              <w:left w:val="nil"/>
              <w:bottom w:val="nil"/>
              <w:right w:val="nil"/>
            </w:tcBorders>
            <w:noWrap/>
            <w:vAlign w:val="bottom"/>
            <w:hideMark/>
          </w:tcPr>
          <w:p w14:paraId="7DB6A4F4" w14:textId="77777777" w:rsidR="009A31D3" w:rsidRPr="007E4EDA" w:rsidRDefault="009A31D3" w:rsidP="009A31D3">
            <w:pPr>
              <w:rPr>
                <w:i/>
                <w:iCs/>
                <w:color w:val="000000"/>
                <w:sz w:val="22"/>
                <w:szCs w:val="22"/>
                <w:lang w:val="en-GB"/>
              </w:rPr>
            </w:pPr>
            <w:r>
              <w:rPr>
                <w:i/>
                <w:iCs/>
                <w:color w:val="000000"/>
                <w:sz w:val="22"/>
                <w:szCs w:val="22"/>
                <w:lang w:val="en-GB"/>
              </w:rPr>
              <w:t>Enterococcus faecalis</w:t>
            </w:r>
            <w:r>
              <w:rPr>
                <w:color w:val="000000"/>
                <w:sz w:val="22"/>
                <w:szCs w:val="22"/>
                <w:lang w:val="en-GB"/>
              </w:rPr>
              <w:t xml:space="preserve"> ATCC 29212</w:t>
            </w:r>
          </w:p>
        </w:tc>
        <w:tc>
          <w:tcPr>
            <w:tcW w:w="1750" w:type="dxa"/>
            <w:tcBorders>
              <w:top w:val="nil"/>
              <w:left w:val="nil"/>
              <w:bottom w:val="nil"/>
              <w:right w:val="nil"/>
            </w:tcBorders>
            <w:noWrap/>
            <w:vAlign w:val="bottom"/>
            <w:hideMark/>
          </w:tcPr>
          <w:p w14:paraId="62E314BB" w14:textId="77777777" w:rsidR="009A31D3" w:rsidRPr="007E4EDA" w:rsidRDefault="009A31D3" w:rsidP="009A31D3">
            <w:pPr>
              <w:jc w:val="center"/>
              <w:rPr>
                <w:color w:val="000000"/>
                <w:sz w:val="22"/>
                <w:szCs w:val="22"/>
                <w:lang w:val="en-GB"/>
              </w:rPr>
            </w:pPr>
            <w:r>
              <w:rPr>
                <w:color w:val="000000"/>
                <w:sz w:val="22"/>
                <w:szCs w:val="22"/>
                <w:lang w:val="en-GB"/>
              </w:rPr>
              <w:t>-</w:t>
            </w:r>
          </w:p>
        </w:tc>
        <w:tc>
          <w:tcPr>
            <w:tcW w:w="690" w:type="dxa"/>
            <w:tcBorders>
              <w:top w:val="nil"/>
              <w:left w:val="nil"/>
              <w:bottom w:val="nil"/>
              <w:right w:val="nil"/>
            </w:tcBorders>
            <w:noWrap/>
            <w:vAlign w:val="bottom"/>
            <w:hideMark/>
          </w:tcPr>
          <w:p w14:paraId="3C9F3FF2" w14:textId="77777777" w:rsidR="009A31D3" w:rsidRPr="007E4EDA" w:rsidRDefault="009A31D3" w:rsidP="009A31D3">
            <w:pPr>
              <w:jc w:val="center"/>
              <w:rPr>
                <w:color w:val="000000"/>
                <w:sz w:val="22"/>
                <w:szCs w:val="22"/>
                <w:lang w:val="en-GB"/>
              </w:rPr>
            </w:pPr>
            <w:r>
              <w:rPr>
                <w:color w:val="000000"/>
                <w:sz w:val="22"/>
                <w:szCs w:val="22"/>
                <w:lang w:val="en-GB"/>
              </w:rPr>
              <w:t>-</w:t>
            </w:r>
          </w:p>
        </w:tc>
        <w:tc>
          <w:tcPr>
            <w:tcW w:w="2008" w:type="dxa"/>
            <w:tcBorders>
              <w:top w:val="nil"/>
              <w:left w:val="nil"/>
              <w:bottom w:val="nil"/>
              <w:right w:val="nil"/>
            </w:tcBorders>
            <w:noWrap/>
            <w:vAlign w:val="bottom"/>
            <w:hideMark/>
          </w:tcPr>
          <w:p w14:paraId="446503FA" w14:textId="77777777" w:rsidR="009A31D3" w:rsidRPr="007E4EDA" w:rsidRDefault="009A31D3" w:rsidP="009A31D3">
            <w:pPr>
              <w:jc w:val="center"/>
              <w:rPr>
                <w:color w:val="000000"/>
                <w:sz w:val="22"/>
                <w:szCs w:val="22"/>
                <w:lang w:val="en-GB"/>
              </w:rPr>
            </w:pPr>
            <w:r>
              <w:rPr>
                <w:color w:val="000000"/>
                <w:sz w:val="22"/>
                <w:szCs w:val="22"/>
                <w:lang w:val="en-GB"/>
              </w:rPr>
              <w:t>-</w:t>
            </w:r>
          </w:p>
        </w:tc>
        <w:tc>
          <w:tcPr>
            <w:tcW w:w="792" w:type="dxa"/>
            <w:tcBorders>
              <w:top w:val="nil"/>
              <w:left w:val="nil"/>
              <w:bottom w:val="nil"/>
              <w:right w:val="nil"/>
            </w:tcBorders>
            <w:noWrap/>
            <w:vAlign w:val="bottom"/>
            <w:hideMark/>
          </w:tcPr>
          <w:p w14:paraId="72565839" w14:textId="77777777" w:rsidR="009A31D3" w:rsidRPr="007E4EDA" w:rsidRDefault="009A31D3" w:rsidP="009A31D3">
            <w:pPr>
              <w:jc w:val="center"/>
              <w:rPr>
                <w:color w:val="000000"/>
                <w:sz w:val="22"/>
                <w:szCs w:val="22"/>
                <w:lang w:val="en-GB"/>
              </w:rPr>
            </w:pPr>
            <w:r>
              <w:rPr>
                <w:color w:val="000000"/>
                <w:sz w:val="22"/>
                <w:szCs w:val="22"/>
                <w:lang w:val="en-GB"/>
              </w:rPr>
              <w:t>-</w:t>
            </w:r>
          </w:p>
        </w:tc>
        <w:tc>
          <w:tcPr>
            <w:tcW w:w="4140" w:type="dxa"/>
            <w:tcBorders>
              <w:top w:val="nil"/>
              <w:left w:val="nil"/>
              <w:bottom w:val="nil"/>
              <w:right w:val="nil"/>
            </w:tcBorders>
            <w:noWrap/>
            <w:vAlign w:val="bottom"/>
            <w:hideMark/>
          </w:tcPr>
          <w:p w14:paraId="75836AB4" w14:textId="77777777" w:rsidR="009A31D3" w:rsidRPr="007E4EDA" w:rsidRDefault="009A31D3" w:rsidP="009A31D3">
            <w:pPr>
              <w:rPr>
                <w:color w:val="000000"/>
                <w:sz w:val="22"/>
                <w:szCs w:val="22"/>
                <w:lang w:val="en-GB"/>
              </w:rPr>
            </w:pPr>
            <w:r>
              <w:rPr>
                <w:color w:val="000000"/>
                <w:sz w:val="22"/>
                <w:szCs w:val="22"/>
                <w:lang w:val="en-GB"/>
              </w:rPr>
              <w:t>ATCC</w:t>
            </w:r>
          </w:p>
        </w:tc>
      </w:tr>
      <w:tr w:rsidR="009A31D3" w:rsidRPr="007E4EDA" w14:paraId="4414806A" w14:textId="77777777" w:rsidTr="00B5343D">
        <w:trPr>
          <w:trHeight w:val="295"/>
          <w:jc w:val="center"/>
        </w:trPr>
        <w:tc>
          <w:tcPr>
            <w:tcW w:w="3180" w:type="dxa"/>
            <w:tcBorders>
              <w:top w:val="nil"/>
              <w:left w:val="nil"/>
              <w:bottom w:val="nil"/>
              <w:right w:val="nil"/>
            </w:tcBorders>
            <w:noWrap/>
            <w:vAlign w:val="bottom"/>
            <w:hideMark/>
          </w:tcPr>
          <w:p w14:paraId="47BBC035" w14:textId="77777777" w:rsidR="009A31D3" w:rsidRPr="007E4EDA" w:rsidRDefault="009A31D3" w:rsidP="009A31D3">
            <w:pPr>
              <w:rPr>
                <w:i/>
                <w:iCs/>
                <w:color w:val="000000"/>
                <w:sz w:val="22"/>
                <w:szCs w:val="22"/>
                <w:lang w:val="en-GB"/>
              </w:rPr>
            </w:pPr>
            <w:r>
              <w:rPr>
                <w:i/>
                <w:iCs/>
                <w:color w:val="000000"/>
                <w:sz w:val="22"/>
                <w:szCs w:val="22"/>
                <w:lang w:val="en-GB"/>
              </w:rPr>
              <w:t>Pseudomonas aeruginosa</w:t>
            </w:r>
          </w:p>
        </w:tc>
        <w:tc>
          <w:tcPr>
            <w:tcW w:w="1750" w:type="dxa"/>
            <w:tcBorders>
              <w:top w:val="nil"/>
              <w:left w:val="nil"/>
              <w:bottom w:val="nil"/>
              <w:right w:val="nil"/>
            </w:tcBorders>
            <w:noWrap/>
            <w:vAlign w:val="bottom"/>
            <w:hideMark/>
          </w:tcPr>
          <w:p w14:paraId="08C98088" w14:textId="77777777" w:rsidR="009A31D3" w:rsidRPr="007E4EDA" w:rsidRDefault="009A31D3" w:rsidP="009A31D3">
            <w:pPr>
              <w:rPr>
                <w:i/>
                <w:iCs/>
                <w:color w:val="000000"/>
                <w:sz w:val="22"/>
                <w:szCs w:val="22"/>
                <w:lang w:val="en-GB"/>
              </w:rPr>
            </w:pPr>
          </w:p>
        </w:tc>
        <w:tc>
          <w:tcPr>
            <w:tcW w:w="690" w:type="dxa"/>
            <w:tcBorders>
              <w:top w:val="nil"/>
              <w:left w:val="nil"/>
              <w:bottom w:val="nil"/>
              <w:right w:val="nil"/>
            </w:tcBorders>
            <w:noWrap/>
            <w:vAlign w:val="bottom"/>
            <w:hideMark/>
          </w:tcPr>
          <w:p w14:paraId="35549BA0" w14:textId="77777777" w:rsidR="009A31D3" w:rsidRPr="007E4EDA" w:rsidRDefault="009A31D3" w:rsidP="009A31D3">
            <w:pPr>
              <w:jc w:val="center"/>
              <w:rPr>
                <w:lang w:val="en-GB"/>
              </w:rPr>
            </w:pPr>
          </w:p>
        </w:tc>
        <w:tc>
          <w:tcPr>
            <w:tcW w:w="2008" w:type="dxa"/>
            <w:tcBorders>
              <w:top w:val="nil"/>
              <w:left w:val="nil"/>
              <w:bottom w:val="nil"/>
              <w:right w:val="nil"/>
            </w:tcBorders>
            <w:noWrap/>
            <w:vAlign w:val="bottom"/>
            <w:hideMark/>
          </w:tcPr>
          <w:p w14:paraId="09E32823" w14:textId="77777777" w:rsidR="009A31D3" w:rsidRPr="007E4EDA" w:rsidRDefault="009A31D3" w:rsidP="009A31D3">
            <w:pPr>
              <w:jc w:val="center"/>
              <w:rPr>
                <w:lang w:val="en-GB"/>
              </w:rPr>
            </w:pPr>
          </w:p>
        </w:tc>
        <w:tc>
          <w:tcPr>
            <w:tcW w:w="792" w:type="dxa"/>
            <w:tcBorders>
              <w:top w:val="nil"/>
              <w:left w:val="nil"/>
              <w:bottom w:val="nil"/>
              <w:right w:val="nil"/>
            </w:tcBorders>
            <w:noWrap/>
            <w:vAlign w:val="bottom"/>
            <w:hideMark/>
          </w:tcPr>
          <w:p w14:paraId="6A87867A" w14:textId="77777777" w:rsidR="009A31D3" w:rsidRPr="007E4EDA" w:rsidRDefault="009A31D3" w:rsidP="009A31D3">
            <w:pPr>
              <w:jc w:val="center"/>
              <w:rPr>
                <w:lang w:val="en-GB"/>
              </w:rPr>
            </w:pPr>
          </w:p>
        </w:tc>
        <w:tc>
          <w:tcPr>
            <w:tcW w:w="4140" w:type="dxa"/>
            <w:tcBorders>
              <w:top w:val="nil"/>
              <w:left w:val="nil"/>
              <w:bottom w:val="nil"/>
              <w:right w:val="nil"/>
            </w:tcBorders>
            <w:noWrap/>
            <w:vAlign w:val="bottom"/>
            <w:hideMark/>
          </w:tcPr>
          <w:p w14:paraId="6C3EE643" w14:textId="77777777" w:rsidR="009A31D3" w:rsidRPr="007E4EDA" w:rsidRDefault="009A31D3" w:rsidP="009A31D3">
            <w:pPr>
              <w:jc w:val="center"/>
              <w:rPr>
                <w:lang w:val="en-GB"/>
              </w:rPr>
            </w:pPr>
          </w:p>
        </w:tc>
      </w:tr>
      <w:tr w:rsidR="009A31D3" w:rsidRPr="007E4EDA" w14:paraId="6490D4B9" w14:textId="77777777" w:rsidTr="00B5343D">
        <w:trPr>
          <w:trHeight w:val="295"/>
          <w:jc w:val="center"/>
        </w:trPr>
        <w:tc>
          <w:tcPr>
            <w:tcW w:w="3180" w:type="dxa"/>
            <w:tcBorders>
              <w:top w:val="nil"/>
              <w:left w:val="nil"/>
              <w:bottom w:val="nil"/>
              <w:right w:val="nil"/>
            </w:tcBorders>
            <w:noWrap/>
            <w:vAlign w:val="bottom"/>
            <w:hideMark/>
          </w:tcPr>
          <w:p w14:paraId="618F47E2" w14:textId="77777777" w:rsidR="009A31D3" w:rsidRPr="007E4EDA" w:rsidRDefault="009A31D3" w:rsidP="009A31D3">
            <w:pPr>
              <w:ind w:firstLineChars="100" w:firstLine="220"/>
              <w:rPr>
                <w:color w:val="000000"/>
                <w:sz w:val="22"/>
                <w:szCs w:val="22"/>
                <w:lang w:val="en-GB"/>
              </w:rPr>
            </w:pPr>
            <w:r>
              <w:rPr>
                <w:color w:val="000000"/>
                <w:sz w:val="22"/>
                <w:szCs w:val="22"/>
                <w:lang w:val="en-GB"/>
              </w:rPr>
              <w:t>CECT 108</w:t>
            </w:r>
          </w:p>
        </w:tc>
        <w:tc>
          <w:tcPr>
            <w:tcW w:w="1750" w:type="dxa"/>
            <w:tcBorders>
              <w:top w:val="nil"/>
              <w:left w:val="nil"/>
              <w:bottom w:val="nil"/>
              <w:right w:val="nil"/>
            </w:tcBorders>
            <w:noWrap/>
            <w:vAlign w:val="bottom"/>
            <w:hideMark/>
          </w:tcPr>
          <w:p w14:paraId="50C5A016" w14:textId="77777777" w:rsidR="009A31D3" w:rsidRPr="007E4EDA" w:rsidRDefault="009A31D3" w:rsidP="009A31D3">
            <w:pPr>
              <w:jc w:val="center"/>
              <w:rPr>
                <w:color w:val="000000"/>
                <w:sz w:val="22"/>
                <w:szCs w:val="22"/>
                <w:lang w:val="en-GB"/>
              </w:rPr>
            </w:pPr>
            <w:r>
              <w:rPr>
                <w:color w:val="000000"/>
                <w:sz w:val="22"/>
                <w:szCs w:val="22"/>
                <w:lang w:val="en-GB"/>
              </w:rPr>
              <w:t>-</w:t>
            </w:r>
          </w:p>
        </w:tc>
        <w:tc>
          <w:tcPr>
            <w:tcW w:w="690" w:type="dxa"/>
            <w:tcBorders>
              <w:top w:val="nil"/>
              <w:left w:val="nil"/>
              <w:bottom w:val="nil"/>
              <w:right w:val="nil"/>
            </w:tcBorders>
            <w:noWrap/>
            <w:vAlign w:val="bottom"/>
            <w:hideMark/>
          </w:tcPr>
          <w:p w14:paraId="489B56EA" w14:textId="77777777" w:rsidR="009A31D3" w:rsidRPr="007E4EDA" w:rsidRDefault="009A31D3" w:rsidP="009A31D3">
            <w:pPr>
              <w:jc w:val="center"/>
              <w:rPr>
                <w:color w:val="000000"/>
                <w:sz w:val="22"/>
                <w:szCs w:val="22"/>
                <w:lang w:val="en-GB"/>
              </w:rPr>
            </w:pPr>
            <w:r>
              <w:rPr>
                <w:color w:val="000000"/>
                <w:sz w:val="22"/>
                <w:szCs w:val="22"/>
                <w:lang w:val="en-GB"/>
              </w:rPr>
              <w:t>-</w:t>
            </w:r>
          </w:p>
        </w:tc>
        <w:tc>
          <w:tcPr>
            <w:tcW w:w="2008" w:type="dxa"/>
            <w:tcBorders>
              <w:top w:val="nil"/>
              <w:left w:val="nil"/>
              <w:bottom w:val="nil"/>
              <w:right w:val="nil"/>
            </w:tcBorders>
            <w:noWrap/>
            <w:vAlign w:val="bottom"/>
            <w:hideMark/>
          </w:tcPr>
          <w:p w14:paraId="0A623091" w14:textId="77777777" w:rsidR="009A31D3" w:rsidRPr="007E4EDA" w:rsidRDefault="009A31D3" w:rsidP="009A31D3">
            <w:pPr>
              <w:jc w:val="center"/>
              <w:rPr>
                <w:color w:val="000000"/>
                <w:sz w:val="22"/>
                <w:szCs w:val="22"/>
                <w:lang w:val="en-GB"/>
              </w:rPr>
            </w:pPr>
            <w:r>
              <w:rPr>
                <w:color w:val="000000"/>
                <w:sz w:val="22"/>
                <w:szCs w:val="22"/>
                <w:lang w:val="en-GB"/>
              </w:rPr>
              <w:t>-</w:t>
            </w:r>
          </w:p>
        </w:tc>
        <w:tc>
          <w:tcPr>
            <w:tcW w:w="792" w:type="dxa"/>
            <w:tcBorders>
              <w:top w:val="nil"/>
              <w:left w:val="nil"/>
              <w:bottom w:val="nil"/>
              <w:right w:val="nil"/>
            </w:tcBorders>
            <w:noWrap/>
            <w:vAlign w:val="bottom"/>
            <w:hideMark/>
          </w:tcPr>
          <w:p w14:paraId="73EDF12E" w14:textId="77777777" w:rsidR="009A31D3" w:rsidRPr="007E4EDA" w:rsidRDefault="009A31D3" w:rsidP="009A31D3">
            <w:pPr>
              <w:jc w:val="center"/>
              <w:rPr>
                <w:color w:val="000000"/>
                <w:sz w:val="22"/>
                <w:szCs w:val="22"/>
                <w:lang w:val="en-GB"/>
              </w:rPr>
            </w:pPr>
            <w:r>
              <w:rPr>
                <w:color w:val="000000"/>
                <w:sz w:val="22"/>
                <w:szCs w:val="22"/>
                <w:lang w:val="en-GB"/>
              </w:rPr>
              <w:t>-</w:t>
            </w:r>
          </w:p>
        </w:tc>
        <w:tc>
          <w:tcPr>
            <w:tcW w:w="4140" w:type="dxa"/>
            <w:tcBorders>
              <w:top w:val="nil"/>
              <w:left w:val="nil"/>
              <w:bottom w:val="nil"/>
              <w:right w:val="nil"/>
            </w:tcBorders>
            <w:noWrap/>
            <w:vAlign w:val="bottom"/>
            <w:hideMark/>
          </w:tcPr>
          <w:p w14:paraId="0A4A6EFF" w14:textId="77777777" w:rsidR="009A31D3" w:rsidRPr="007E4EDA" w:rsidRDefault="009A31D3" w:rsidP="009A31D3">
            <w:pPr>
              <w:rPr>
                <w:color w:val="000000"/>
                <w:sz w:val="22"/>
                <w:szCs w:val="22"/>
                <w:lang w:val="en-GB"/>
              </w:rPr>
            </w:pPr>
            <w:r>
              <w:rPr>
                <w:color w:val="000000"/>
                <w:sz w:val="22"/>
                <w:szCs w:val="22"/>
                <w:lang w:val="en-GB"/>
              </w:rPr>
              <w:t>CECT (WDCM 00025)</w:t>
            </w:r>
          </w:p>
        </w:tc>
      </w:tr>
      <w:tr w:rsidR="009A31D3" w:rsidRPr="007E4EDA" w14:paraId="712CD678" w14:textId="77777777" w:rsidTr="00B5343D">
        <w:trPr>
          <w:trHeight w:val="295"/>
          <w:jc w:val="center"/>
        </w:trPr>
        <w:tc>
          <w:tcPr>
            <w:tcW w:w="3180" w:type="dxa"/>
            <w:tcBorders>
              <w:top w:val="nil"/>
              <w:left w:val="nil"/>
              <w:bottom w:val="nil"/>
              <w:right w:val="nil"/>
            </w:tcBorders>
            <w:noWrap/>
            <w:vAlign w:val="bottom"/>
            <w:hideMark/>
          </w:tcPr>
          <w:p w14:paraId="233D9DDE" w14:textId="77777777" w:rsidR="009A31D3" w:rsidRPr="007E4EDA" w:rsidRDefault="009A31D3" w:rsidP="009A31D3">
            <w:pPr>
              <w:ind w:firstLineChars="100" w:firstLine="220"/>
              <w:rPr>
                <w:color w:val="000000"/>
                <w:sz w:val="22"/>
                <w:szCs w:val="22"/>
                <w:lang w:val="en-GB"/>
              </w:rPr>
            </w:pPr>
            <w:r>
              <w:rPr>
                <w:color w:val="000000"/>
                <w:sz w:val="22"/>
                <w:szCs w:val="22"/>
                <w:lang w:val="en-GB"/>
              </w:rPr>
              <w:t>CECT 110</w:t>
            </w:r>
          </w:p>
        </w:tc>
        <w:tc>
          <w:tcPr>
            <w:tcW w:w="1750" w:type="dxa"/>
            <w:tcBorders>
              <w:top w:val="nil"/>
              <w:left w:val="nil"/>
              <w:bottom w:val="nil"/>
              <w:right w:val="nil"/>
            </w:tcBorders>
            <w:noWrap/>
            <w:vAlign w:val="bottom"/>
            <w:hideMark/>
          </w:tcPr>
          <w:p w14:paraId="0DDE0D44" w14:textId="77777777" w:rsidR="009A31D3" w:rsidRPr="007E4EDA" w:rsidRDefault="009A31D3" w:rsidP="009A31D3">
            <w:pPr>
              <w:jc w:val="center"/>
              <w:rPr>
                <w:color w:val="000000"/>
                <w:sz w:val="22"/>
                <w:szCs w:val="22"/>
                <w:lang w:val="en-GB"/>
              </w:rPr>
            </w:pPr>
            <w:r>
              <w:rPr>
                <w:color w:val="000000"/>
                <w:sz w:val="22"/>
                <w:szCs w:val="22"/>
                <w:lang w:val="en-GB"/>
              </w:rPr>
              <w:t>-</w:t>
            </w:r>
          </w:p>
        </w:tc>
        <w:tc>
          <w:tcPr>
            <w:tcW w:w="690" w:type="dxa"/>
            <w:tcBorders>
              <w:top w:val="nil"/>
              <w:left w:val="nil"/>
              <w:bottom w:val="nil"/>
              <w:right w:val="nil"/>
            </w:tcBorders>
            <w:noWrap/>
            <w:vAlign w:val="bottom"/>
            <w:hideMark/>
          </w:tcPr>
          <w:p w14:paraId="1AAFA559" w14:textId="77777777" w:rsidR="009A31D3" w:rsidRPr="007E4EDA" w:rsidRDefault="009A31D3" w:rsidP="009A31D3">
            <w:pPr>
              <w:jc w:val="center"/>
              <w:rPr>
                <w:color w:val="000000"/>
                <w:sz w:val="22"/>
                <w:szCs w:val="22"/>
                <w:lang w:val="en-GB"/>
              </w:rPr>
            </w:pPr>
            <w:r>
              <w:rPr>
                <w:color w:val="000000"/>
                <w:sz w:val="22"/>
                <w:szCs w:val="22"/>
                <w:lang w:val="en-GB"/>
              </w:rPr>
              <w:t>-</w:t>
            </w:r>
          </w:p>
        </w:tc>
        <w:tc>
          <w:tcPr>
            <w:tcW w:w="2008" w:type="dxa"/>
            <w:tcBorders>
              <w:top w:val="nil"/>
              <w:left w:val="nil"/>
              <w:bottom w:val="nil"/>
              <w:right w:val="nil"/>
            </w:tcBorders>
            <w:noWrap/>
            <w:vAlign w:val="bottom"/>
            <w:hideMark/>
          </w:tcPr>
          <w:p w14:paraId="5F671149" w14:textId="77777777" w:rsidR="009A31D3" w:rsidRPr="007E4EDA" w:rsidRDefault="009A31D3" w:rsidP="009A31D3">
            <w:pPr>
              <w:jc w:val="center"/>
              <w:rPr>
                <w:color w:val="000000"/>
                <w:sz w:val="22"/>
                <w:szCs w:val="22"/>
                <w:lang w:val="en-GB"/>
              </w:rPr>
            </w:pPr>
            <w:r>
              <w:rPr>
                <w:color w:val="000000"/>
                <w:sz w:val="22"/>
                <w:szCs w:val="22"/>
                <w:lang w:val="en-GB"/>
              </w:rPr>
              <w:t>-</w:t>
            </w:r>
          </w:p>
        </w:tc>
        <w:tc>
          <w:tcPr>
            <w:tcW w:w="792" w:type="dxa"/>
            <w:tcBorders>
              <w:top w:val="nil"/>
              <w:left w:val="nil"/>
              <w:bottom w:val="nil"/>
              <w:right w:val="nil"/>
            </w:tcBorders>
            <w:noWrap/>
            <w:vAlign w:val="bottom"/>
            <w:hideMark/>
          </w:tcPr>
          <w:p w14:paraId="100F0214" w14:textId="77777777" w:rsidR="009A31D3" w:rsidRPr="007E4EDA" w:rsidRDefault="009A31D3" w:rsidP="009A31D3">
            <w:pPr>
              <w:jc w:val="center"/>
              <w:rPr>
                <w:color w:val="000000"/>
                <w:sz w:val="22"/>
                <w:szCs w:val="22"/>
                <w:lang w:val="en-GB"/>
              </w:rPr>
            </w:pPr>
            <w:r>
              <w:rPr>
                <w:color w:val="000000"/>
                <w:sz w:val="22"/>
                <w:szCs w:val="22"/>
                <w:lang w:val="en-GB"/>
              </w:rPr>
              <w:t>-</w:t>
            </w:r>
          </w:p>
        </w:tc>
        <w:tc>
          <w:tcPr>
            <w:tcW w:w="4140" w:type="dxa"/>
            <w:tcBorders>
              <w:top w:val="nil"/>
              <w:left w:val="nil"/>
              <w:bottom w:val="nil"/>
              <w:right w:val="nil"/>
            </w:tcBorders>
            <w:noWrap/>
            <w:vAlign w:val="bottom"/>
            <w:hideMark/>
          </w:tcPr>
          <w:p w14:paraId="2ACF639A" w14:textId="77777777" w:rsidR="009A31D3" w:rsidRPr="007E4EDA" w:rsidRDefault="009A31D3" w:rsidP="009A31D3">
            <w:pPr>
              <w:rPr>
                <w:color w:val="000000"/>
                <w:sz w:val="22"/>
                <w:szCs w:val="22"/>
                <w:lang w:val="en-GB"/>
              </w:rPr>
            </w:pPr>
            <w:r>
              <w:rPr>
                <w:color w:val="000000"/>
                <w:sz w:val="22"/>
                <w:szCs w:val="22"/>
                <w:lang w:val="en-GB"/>
              </w:rPr>
              <w:t>CECT (WDCM 00024)</w:t>
            </w:r>
          </w:p>
        </w:tc>
      </w:tr>
      <w:tr w:rsidR="009A31D3" w:rsidRPr="007E4EDA" w14:paraId="5A6D377D" w14:textId="77777777" w:rsidTr="00B5343D">
        <w:trPr>
          <w:trHeight w:val="295"/>
          <w:jc w:val="center"/>
        </w:trPr>
        <w:tc>
          <w:tcPr>
            <w:tcW w:w="3180" w:type="dxa"/>
            <w:tcBorders>
              <w:top w:val="nil"/>
              <w:left w:val="nil"/>
              <w:bottom w:val="nil"/>
              <w:right w:val="nil"/>
            </w:tcBorders>
            <w:noWrap/>
            <w:vAlign w:val="bottom"/>
            <w:hideMark/>
          </w:tcPr>
          <w:p w14:paraId="602CBD64" w14:textId="77777777" w:rsidR="009A31D3" w:rsidRPr="007E4EDA" w:rsidRDefault="009A31D3" w:rsidP="009A31D3">
            <w:pPr>
              <w:ind w:firstLineChars="100" w:firstLine="220"/>
              <w:rPr>
                <w:i/>
                <w:iCs/>
                <w:sz w:val="22"/>
                <w:szCs w:val="22"/>
                <w:lang w:val="en-GB"/>
              </w:rPr>
            </w:pPr>
            <w:r>
              <w:rPr>
                <w:i/>
                <w:iCs/>
                <w:sz w:val="22"/>
                <w:szCs w:val="22"/>
                <w:lang w:val="en-GB"/>
              </w:rPr>
              <w:t>Pseud. aeruginosa strain</w:t>
            </w:r>
          </w:p>
        </w:tc>
        <w:tc>
          <w:tcPr>
            <w:tcW w:w="1750" w:type="dxa"/>
            <w:tcBorders>
              <w:top w:val="nil"/>
              <w:left w:val="nil"/>
              <w:bottom w:val="nil"/>
              <w:right w:val="nil"/>
            </w:tcBorders>
            <w:noWrap/>
            <w:vAlign w:val="bottom"/>
            <w:hideMark/>
          </w:tcPr>
          <w:p w14:paraId="2F6A92A6" w14:textId="77777777" w:rsidR="009A31D3" w:rsidRPr="007E4EDA" w:rsidRDefault="009A31D3" w:rsidP="009A31D3">
            <w:pPr>
              <w:jc w:val="center"/>
              <w:rPr>
                <w:color w:val="000000"/>
                <w:sz w:val="22"/>
                <w:szCs w:val="22"/>
                <w:lang w:val="en-GB"/>
              </w:rPr>
            </w:pPr>
            <w:r>
              <w:rPr>
                <w:color w:val="000000"/>
                <w:sz w:val="22"/>
                <w:szCs w:val="22"/>
                <w:lang w:val="en-GB"/>
              </w:rPr>
              <w:t>-</w:t>
            </w:r>
          </w:p>
        </w:tc>
        <w:tc>
          <w:tcPr>
            <w:tcW w:w="690" w:type="dxa"/>
            <w:tcBorders>
              <w:top w:val="nil"/>
              <w:left w:val="nil"/>
              <w:bottom w:val="nil"/>
              <w:right w:val="nil"/>
            </w:tcBorders>
            <w:noWrap/>
            <w:vAlign w:val="bottom"/>
            <w:hideMark/>
          </w:tcPr>
          <w:p w14:paraId="2688C4AC" w14:textId="77777777" w:rsidR="009A31D3" w:rsidRPr="007E4EDA" w:rsidRDefault="009A31D3" w:rsidP="009A31D3">
            <w:pPr>
              <w:jc w:val="center"/>
              <w:rPr>
                <w:color w:val="000000"/>
                <w:sz w:val="22"/>
                <w:szCs w:val="22"/>
                <w:lang w:val="en-GB"/>
              </w:rPr>
            </w:pPr>
            <w:r>
              <w:rPr>
                <w:color w:val="000000"/>
                <w:sz w:val="22"/>
                <w:szCs w:val="22"/>
                <w:lang w:val="en-GB"/>
              </w:rPr>
              <w:t>-</w:t>
            </w:r>
          </w:p>
        </w:tc>
        <w:tc>
          <w:tcPr>
            <w:tcW w:w="2008" w:type="dxa"/>
            <w:tcBorders>
              <w:top w:val="nil"/>
              <w:left w:val="nil"/>
              <w:bottom w:val="nil"/>
              <w:right w:val="nil"/>
            </w:tcBorders>
            <w:noWrap/>
            <w:vAlign w:val="bottom"/>
            <w:hideMark/>
          </w:tcPr>
          <w:p w14:paraId="67EDB035" w14:textId="77777777" w:rsidR="009A31D3" w:rsidRPr="007E4EDA" w:rsidRDefault="009A31D3" w:rsidP="009A31D3">
            <w:pPr>
              <w:jc w:val="center"/>
              <w:rPr>
                <w:color w:val="000000"/>
                <w:sz w:val="22"/>
                <w:szCs w:val="22"/>
                <w:lang w:val="en-GB"/>
              </w:rPr>
            </w:pPr>
            <w:r>
              <w:rPr>
                <w:color w:val="000000"/>
                <w:sz w:val="22"/>
                <w:szCs w:val="22"/>
                <w:lang w:val="en-GB"/>
              </w:rPr>
              <w:t>-</w:t>
            </w:r>
          </w:p>
        </w:tc>
        <w:tc>
          <w:tcPr>
            <w:tcW w:w="792" w:type="dxa"/>
            <w:tcBorders>
              <w:top w:val="nil"/>
              <w:left w:val="nil"/>
              <w:bottom w:val="nil"/>
              <w:right w:val="nil"/>
            </w:tcBorders>
            <w:noWrap/>
            <w:vAlign w:val="bottom"/>
            <w:hideMark/>
          </w:tcPr>
          <w:p w14:paraId="248DC429" w14:textId="77777777" w:rsidR="009A31D3" w:rsidRPr="007E4EDA" w:rsidRDefault="009A31D3" w:rsidP="009A31D3">
            <w:pPr>
              <w:jc w:val="center"/>
              <w:rPr>
                <w:color w:val="000000"/>
                <w:sz w:val="22"/>
                <w:szCs w:val="22"/>
                <w:lang w:val="en-GB"/>
              </w:rPr>
            </w:pPr>
            <w:r>
              <w:rPr>
                <w:color w:val="000000"/>
                <w:sz w:val="22"/>
                <w:szCs w:val="22"/>
                <w:lang w:val="en-GB"/>
              </w:rPr>
              <w:t>-</w:t>
            </w:r>
          </w:p>
        </w:tc>
        <w:tc>
          <w:tcPr>
            <w:tcW w:w="4140" w:type="dxa"/>
            <w:tcBorders>
              <w:top w:val="nil"/>
              <w:left w:val="nil"/>
              <w:bottom w:val="nil"/>
              <w:right w:val="nil"/>
            </w:tcBorders>
            <w:noWrap/>
            <w:vAlign w:val="bottom"/>
            <w:hideMark/>
          </w:tcPr>
          <w:p w14:paraId="6DAB29BD" w14:textId="2B5A4C07" w:rsidR="009A31D3" w:rsidRPr="007E4EDA" w:rsidRDefault="00F463D1" w:rsidP="009A31D3">
            <w:pPr>
              <w:rPr>
                <w:sz w:val="22"/>
                <w:szCs w:val="22"/>
                <w:lang w:val="en-GB"/>
              </w:rPr>
            </w:pPr>
            <w:r>
              <w:rPr>
                <w:sz w:val="22"/>
                <w:szCs w:val="22"/>
                <w:lang w:val="en-GB"/>
              </w:rPr>
              <w:fldChar w:fldCharType="begin"/>
            </w:r>
            <w:r>
              <w:rPr>
                <w:sz w:val="22"/>
                <w:szCs w:val="22"/>
                <w:lang w:val="en-GB"/>
              </w:rPr>
              <w:instrText xml:space="preserve"> ADDIN ZOTERO_ITEM CSL_CITATION {"citationID":"GmLbztqz","properties":{"unsorted":false,"formattedCitation":"(Brown-Jaque et al., 2016)","plainCitation":"(Brown-Jaque et al., 2016)","noteIndex":0},"citationItems":[{"id":29330,"uris":["http://zotero.org/users/19779089/items/P5TTZ7C8"],"itemData":{"id":29330,"type":"article-journal","citation-key":"brownjaque2016","container-title":"Scientific Reports","DOI":"10.1038/srep33000","note":"citation-key: brownjaque2016","page":"33000","PMID":"27609086","PMCID":"PMC5016790","title":"Bacteriophages in clinical samples can interfere with microbiological diagnostic tools","volume":"6","author":[{"family":"Brown-Jaque","given":"M."},{"family":"Muniesa","given":"M."},{"family":"Navarro","given":"F."}],"issued":{"date-parts":[["2016"]]}}}],"schema":"https://github.com/citation-style-language/schema/raw/master/csl-citation.json"} </w:instrText>
            </w:r>
            <w:r>
              <w:rPr>
                <w:sz w:val="22"/>
                <w:szCs w:val="22"/>
                <w:lang w:val="en-GB"/>
              </w:rPr>
              <w:fldChar w:fldCharType="separate"/>
            </w:r>
            <w:r>
              <w:rPr>
                <w:sz w:val="22"/>
                <w:lang w:val="en-GB"/>
              </w:rPr>
              <w:t>(Brown-Jaque et al., 2016)</w:t>
            </w:r>
            <w:r>
              <w:rPr>
                <w:sz w:val="22"/>
                <w:szCs w:val="22"/>
                <w:lang w:val="en-GB"/>
              </w:rPr>
              <w:fldChar w:fldCharType="end"/>
            </w:r>
          </w:p>
        </w:tc>
      </w:tr>
      <w:tr w:rsidR="009A31D3" w:rsidRPr="007E4EDA" w14:paraId="4B80F51A" w14:textId="77777777" w:rsidTr="00B5343D">
        <w:trPr>
          <w:trHeight w:val="295"/>
          <w:jc w:val="center"/>
        </w:trPr>
        <w:tc>
          <w:tcPr>
            <w:tcW w:w="3180" w:type="dxa"/>
            <w:tcBorders>
              <w:top w:val="nil"/>
              <w:left w:val="nil"/>
              <w:bottom w:val="nil"/>
              <w:right w:val="nil"/>
            </w:tcBorders>
            <w:noWrap/>
            <w:vAlign w:val="bottom"/>
            <w:hideMark/>
          </w:tcPr>
          <w:p w14:paraId="2AF68BC1" w14:textId="77777777" w:rsidR="009A31D3" w:rsidRPr="007E4EDA" w:rsidRDefault="009A31D3" w:rsidP="009A31D3">
            <w:pPr>
              <w:rPr>
                <w:i/>
                <w:iCs/>
                <w:color w:val="000000"/>
                <w:sz w:val="22"/>
                <w:szCs w:val="22"/>
                <w:lang w:val="en-GB"/>
              </w:rPr>
            </w:pPr>
            <w:r>
              <w:rPr>
                <w:i/>
                <w:iCs/>
                <w:color w:val="000000"/>
                <w:sz w:val="22"/>
                <w:szCs w:val="22"/>
                <w:lang w:val="en-GB"/>
              </w:rPr>
              <w:t>Salmonella enteritidis r.314</w:t>
            </w:r>
          </w:p>
        </w:tc>
        <w:tc>
          <w:tcPr>
            <w:tcW w:w="1750" w:type="dxa"/>
            <w:tcBorders>
              <w:top w:val="nil"/>
              <w:left w:val="nil"/>
              <w:bottom w:val="nil"/>
              <w:right w:val="nil"/>
            </w:tcBorders>
            <w:noWrap/>
            <w:vAlign w:val="bottom"/>
            <w:hideMark/>
          </w:tcPr>
          <w:p w14:paraId="4F5C40AE" w14:textId="77777777" w:rsidR="009A31D3" w:rsidRPr="007E4EDA" w:rsidRDefault="009A31D3" w:rsidP="009A31D3">
            <w:pPr>
              <w:jc w:val="center"/>
              <w:rPr>
                <w:color w:val="000000"/>
                <w:sz w:val="22"/>
                <w:szCs w:val="22"/>
                <w:lang w:val="en-GB"/>
              </w:rPr>
            </w:pPr>
            <w:r>
              <w:rPr>
                <w:color w:val="000000"/>
                <w:sz w:val="22"/>
                <w:szCs w:val="22"/>
                <w:lang w:val="en-GB"/>
              </w:rPr>
              <w:t>-</w:t>
            </w:r>
          </w:p>
        </w:tc>
        <w:tc>
          <w:tcPr>
            <w:tcW w:w="690" w:type="dxa"/>
            <w:tcBorders>
              <w:top w:val="nil"/>
              <w:left w:val="nil"/>
              <w:bottom w:val="nil"/>
              <w:right w:val="nil"/>
            </w:tcBorders>
            <w:noWrap/>
            <w:vAlign w:val="bottom"/>
            <w:hideMark/>
          </w:tcPr>
          <w:p w14:paraId="212A3DB0" w14:textId="77777777" w:rsidR="009A31D3" w:rsidRPr="007E4EDA" w:rsidRDefault="009A31D3" w:rsidP="009A31D3">
            <w:pPr>
              <w:jc w:val="center"/>
              <w:rPr>
                <w:color w:val="000000"/>
                <w:sz w:val="22"/>
                <w:szCs w:val="22"/>
                <w:lang w:val="en-GB"/>
              </w:rPr>
            </w:pPr>
            <w:r>
              <w:rPr>
                <w:color w:val="000000"/>
                <w:sz w:val="22"/>
                <w:szCs w:val="22"/>
                <w:lang w:val="en-GB"/>
              </w:rPr>
              <w:t>-</w:t>
            </w:r>
          </w:p>
        </w:tc>
        <w:tc>
          <w:tcPr>
            <w:tcW w:w="2008" w:type="dxa"/>
            <w:tcBorders>
              <w:top w:val="nil"/>
              <w:left w:val="nil"/>
              <w:bottom w:val="nil"/>
              <w:right w:val="nil"/>
            </w:tcBorders>
            <w:noWrap/>
            <w:vAlign w:val="bottom"/>
            <w:hideMark/>
          </w:tcPr>
          <w:p w14:paraId="6C8D40AF" w14:textId="77777777" w:rsidR="009A31D3" w:rsidRPr="007E4EDA" w:rsidRDefault="009A31D3" w:rsidP="009A31D3">
            <w:pPr>
              <w:jc w:val="center"/>
              <w:rPr>
                <w:color w:val="000000"/>
                <w:sz w:val="22"/>
                <w:szCs w:val="22"/>
                <w:lang w:val="en-GB"/>
              </w:rPr>
            </w:pPr>
            <w:r>
              <w:rPr>
                <w:color w:val="000000"/>
                <w:sz w:val="22"/>
                <w:szCs w:val="22"/>
                <w:lang w:val="en-GB"/>
              </w:rPr>
              <w:t>-</w:t>
            </w:r>
          </w:p>
        </w:tc>
        <w:tc>
          <w:tcPr>
            <w:tcW w:w="792" w:type="dxa"/>
            <w:tcBorders>
              <w:top w:val="nil"/>
              <w:left w:val="nil"/>
              <w:bottom w:val="nil"/>
              <w:right w:val="nil"/>
            </w:tcBorders>
            <w:noWrap/>
            <w:vAlign w:val="bottom"/>
            <w:hideMark/>
          </w:tcPr>
          <w:p w14:paraId="01F758D0" w14:textId="77777777" w:rsidR="009A31D3" w:rsidRPr="007E4EDA" w:rsidRDefault="009A31D3" w:rsidP="009A31D3">
            <w:pPr>
              <w:jc w:val="center"/>
              <w:rPr>
                <w:color w:val="000000"/>
                <w:sz w:val="22"/>
                <w:szCs w:val="22"/>
                <w:lang w:val="en-GB"/>
              </w:rPr>
            </w:pPr>
            <w:r>
              <w:rPr>
                <w:color w:val="000000"/>
                <w:sz w:val="22"/>
                <w:szCs w:val="22"/>
                <w:lang w:val="en-GB"/>
              </w:rPr>
              <w:t>-</w:t>
            </w:r>
          </w:p>
        </w:tc>
        <w:tc>
          <w:tcPr>
            <w:tcW w:w="4140" w:type="dxa"/>
            <w:tcBorders>
              <w:top w:val="nil"/>
              <w:left w:val="nil"/>
              <w:bottom w:val="nil"/>
              <w:right w:val="nil"/>
            </w:tcBorders>
            <w:noWrap/>
            <w:vAlign w:val="bottom"/>
            <w:hideMark/>
          </w:tcPr>
          <w:p w14:paraId="0916D1F2" w14:textId="77777777" w:rsidR="009A31D3" w:rsidRPr="007E4EDA" w:rsidRDefault="009A31D3" w:rsidP="009A31D3">
            <w:pPr>
              <w:rPr>
                <w:sz w:val="22"/>
                <w:szCs w:val="22"/>
                <w:lang w:val="en-GB"/>
              </w:rPr>
            </w:pPr>
            <w:r>
              <w:rPr>
                <w:sz w:val="22"/>
                <w:szCs w:val="22"/>
                <w:lang w:val="en-GB"/>
              </w:rPr>
              <w:t>MARS</w:t>
            </w:r>
          </w:p>
        </w:tc>
      </w:tr>
      <w:tr w:rsidR="009A31D3" w:rsidRPr="007E4EDA" w14:paraId="3BB991DB" w14:textId="77777777" w:rsidTr="00B5343D">
        <w:trPr>
          <w:trHeight w:val="295"/>
          <w:jc w:val="center"/>
        </w:trPr>
        <w:tc>
          <w:tcPr>
            <w:tcW w:w="3180" w:type="dxa"/>
            <w:tcBorders>
              <w:top w:val="nil"/>
              <w:left w:val="nil"/>
              <w:bottom w:val="nil"/>
              <w:right w:val="nil"/>
            </w:tcBorders>
            <w:noWrap/>
            <w:vAlign w:val="bottom"/>
            <w:hideMark/>
          </w:tcPr>
          <w:p w14:paraId="2D47BC28" w14:textId="77777777" w:rsidR="009A31D3" w:rsidRPr="007E4EDA" w:rsidRDefault="009A31D3" w:rsidP="009A31D3">
            <w:pPr>
              <w:rPr>
                <w:i/>
                <w:iCs/>
                <w:color w:val="000000"/>
                <w:sz w:val="22"/>
                <w:szCs w:val="22"/>
                <w:lang w:val="en-GB"/>
              </w:rPr>
            </w:pPr>
            <w:r>
              <w:rPr>
                <w:i/>
                <w:iCs/>
                <w:color w:val="000000"/>
                <w:sz w:val="22"/>
                <w:szCs w:val="22"/>
                <w:lang w:val="en-GB"/>
              </w:rPr>
              <w:t>Shigella spp.</w:t>
            </w:r>
          </w:p>
        </w:tc>
        <w:tc>
          <w:tcPr>
            <w:tcW w:w="1750" w:type="dxa"/>
            <w:tcBorders>
              <w:top w:val="nil"/>
              <w:left w:val="nil"/>
              <w:bottom w:val="nil"/>
              <w:right w:val="nil"/>
            </w:tcBorders>
            <w:noWrap/>
            <w:vAlign w:val="bottom"/>
            <w:hideMark/>
          </w:tcPr>
          <w:p w14:paraId="340A0D4B" w14:textId="77777777" w:rsidR="009A31D3" w:rsidRPr="007E4EDA" w:rsidRDefault="009A31D3" w:rsidP="009A31D3">
            <w:pPr>
              <w:rPr>
                <w:i/>
                <w:iCs/>
                <w:color w:val="000000"/>
                <w:sz w:val="22"/>
                <w:szCs w:val="22"/>
                <w:lang w:val="en-GB"/>
              </w:rPr>
            </w:pPr>
          </w:p>
        </w:tc>
        <w:tc>
          <w:tcPr>
            <w:tcW w:w="690" w:type="dxa"/>
            <w:tcBorders>
              <w:top w:val="nil"/>
              <w:left w:val="nil"/>
              <w:bottom w:val="nil"/>
              <w:right w:val="nil"/>
            </w:tcBorders>
            <w:noWrap/>
            <w:vAlign w:val="bottom"/>
            <w:hideMark/>
          </w:tcPr>
          <w:p w14:paraId="00ACCA05" w14:textId="77777777" w:rsidR="009A31D3" w:rsidRPr="007E4EDA" w:rsidRDefault="009A31D3" w:rsidP="009A31D3">
            <w:pPr>
              <w:jc w:val="center"/>
              <w:rPr>
                <w:lang w:val="en-GB"/>
              </w:rPr>
            </w:pPr>
          </w:p>
        </w:tc>
        <w:tc>
          <w:tcPr>
            <w:tcW w:w="2008" w:type="dxa"/>
            <w:tcBorders>
              <w:top w:val="nil"/>
              <w:left w:val="nil"/>
              <w:bottom w:val="nil"/>
              <w:right w:val="nil"/>
            </w:tcBorders>
            <w:noWrap/>
            <w:vAlign w:val="bottom"/>
            <w:hideMark/>
          </w:tcPr>
          <w:p w14:paraId="7FCED823" w14:textId="77777777" w:rsidR="009A31D3" w:rsidRPr="007E4EDA" w:rsidRDefault="009A31D3" w:rsidP="009A31D3">
            <w:pPr>
              <w:jc w:val="center"/>
              <w:rPr>
                <w:lang w:val="en-GB"/>
              </w:rPr>
            </w:pPr>
          </w:p>
        </w:tc>
        <w:tc>
          <w:tcPr>
            <w:tcW w:w="792" w:type="dxa"/>
            <w:tcBorders>
              <w:top w:val="nil"/>
              <w:left w:val="nil"/>
              <w:bottom w:val="nil"/>
              <w:right w:val="nil"/>
            </w:tcBorders>
            <w:noWrap/>
            <w:vAlign w:val="bottom"/>
            <w:hideMark/>
          </w:tcPr>
          <w:p w14:paraId="3D46AB01" w14:textId="77777777" w:rsidR="009A31D3" w:rsidRPr="007E4EDA" w:rsidRDefault="009A31D3" w:rsidP="009A31D3">
            <w:pPr>
              <w:jc w:val="center"/>
              <w:rPr>
                <w:lang w:val="en-GB"/>
              </w:rPr>
            </w:pPr>
          </w:p>
        </w:tc>
        <w:tc>
          <w:tcPr>
            <w:tcW w:w="4140" w:type="dxa"/>
            <w:tcBorders>
              <w:top w:val="nil"/>
              <w:left w:val="nil"/>
              <w:bottom w:val="nil"/>
              <w:right w:val="nil"/>
            </w:tcBorders>
            <w:noWrap/>
            <w:vAlign w:val="bottom"/>
            <w:hideMark/>
          </w:tcPr>
          <w:p w14:paraId="5B1B2725" w14:textId="77777777" w:rsidR="009A31D3" w:rsidRPr="007E4EDA" w:rsidRDefault="009A31D3" w:rsidP="009A31D3">
            <w:pPr>
              <w:jc w:val="center"/>
              <w:rPr>
                <w:lang w:val="en-GB"/>
              </w:rPr>
            </w:pPr>
          </w:p>
        </w:tc>
      </w:tr>
      <w:tr w:rsidR="009A31D3" w:rsidRPr="007E4EDA" w14:paraId="57F86AB2" w14:textId="77777777" w:rsidTr="00B5343D">
        <w:trPr>
          <w:trHeight w:val="295"/>
          <w:jc w:val="center"/>
        </w:trPr>
        <w:tc>
          <w:tcPr>
            <w:tcW w:w="3180" w:type="dxa"/>
            <w:tcBorders>
              <w:top w:val="nil"/>
              <w:left w:val="nil"/>
              <w:bottom w:val="nil"/>
              <w:right w:val="nil"/>
            </w:tcBorders>
            <w:noWrap/>
            <w:vAlign w:val="bottom"/>
            <w:hideMark/>
          </w:tcPr>
          <w:p w14:paraId="591D491C" w14:textId="77777777" w:rsidR="009A31D3" w:rsidRPr="007E4EDA" w:rsidRDefault="009A31D3" w:rsidP="009A31D3">
            <w:pPr>
              <w:ind w:firstLineChars="100" w:firstLine="220"/>
              <w:rPr>
                <w:i/>
                <w:iCs/>
                <w:color w:val="000000"/>
                <w:sz w:val="22"/>
                <w:szCs w:val="22"/>
                <w:lang w:val="en-GB"/>
              </w:rPr>
            </w:pPr>
            <w:r>
              <w:rPr>
                <w:i/>
                <w:iCs/>
                <w:color w:val="000000"/>
                <w:sz w:val="22"/>
                <w:szCs w:val="22"/>
                <w:lang w:val="en-GB"/>
              </w:rPr>
              <w:t>Shigella dysenteriae</w:t>
            </w:r>
            <w:r>
              <w:rPr>
                <w:color w:val="000000"/>
                <w:sz w:val="22"/>
                <w:szCs w:val="22"/>
                <w:lang w:val="en-GB"/>
              </w:rPr>
              <w:t xml:space="preserve"> 500-H</w:t>
            </w:r>
          </w:p>
        </w:tc>
        <w:tc>
          <w:tcPr>
            <w:tcW w:w="1750" w:type="dxa"/>
            <w:tcBorders>
              <w:top w:val="nil"/>
              <w:left w:val="nil"/>
              <w:bottom w:val="nil"/>
              <w:right w:val="nil"/>
            </w:tcBorders>
            <w:noWrap/>
            <w:vAlign w:val="bottom"/>
            <w:hideMark/>
          </w:tcPr>
          <w:p w14:paraId="538AAD1C" w14:textId="77777777" w:rsidR="009A31D3" w:rsidRPr="007E4EDA" w:rsidRDefault="009A31D3" w:rsidP="009A31D3">
            <w:pPr>
              <w:jc w:val="center"/>
              <w:rPr>
                <w:sz w:val="22"/>
                <w:szCs w:val="22"/>
                <w:lang w:val="en-GB"/>
              </w:rPr>
            </w:pPr>
            <w:r>
              <w:rPr>
                <w:sz w:val="22"/>
                <w:szCs w:val="22"/>
                <w:lang w:val="en-GB"/>
              </w:rPr>
              <w:t>+</w:t>
            </w:r>
          </w:p>
        </w:tc>
        <w:tc>
          <w:tcPr>
            <w:tcW w:w="690" w:type="dxa"/>
            <w:tcBorders>
              <w:top w:val="nil"/>
              <w:left w:val="nil"/>
              <w:bottom w:val="nil"/>
              <w:right w:val="nil"/>
            </w:tcBorders>
            <w:noWrap/>
            <w:vAlign w:val="bottom"/>
            <w:hideMark/>
          </w:tcPr>
          <w:p w14:paraId="0A1FE145" w14:textId="77777777" w:rsidR="009A31D3" w:rsidRPr="007E4EDA" w:rsidRDefault="009A31D3" w:rsidP="009A31D3">
            <w:pPr>
              <w:jc w:val="center"/>
              <w:rPr>
                <w:sz w:val="22"/>
                <w:szCs w:val="22"/>
                <w:lang w:val="en-GB"/>
              </w:rPr>
            </w:pPr>
            <w:r>
              <w:rPr>
                <w:sz w:val="22"/>
                <w:szCs w:val="22"/>
                <w:lang w:val="en-GB"/>
              </w:rPr>
              <w:t>+</w:t>
            </w:r>
          </w:p>
        </w:tc>
        <w:tc>
          <w:tcPr>
            <w:tcW w:w="2008" w:type="dxa"/>
            <w:tcBorders>
              <w:top w:val="nil"/>
              <w:left w:val="nil"/>
              <w:bottom w:val="nil"/>
              <w:right w:val="nil"/>
            </w:tcBorders>
            <w:noWrap/>
            <w:vAlign w:val="bottom"/>
            <w:hideMark/>
          </w:tcPr>
          <w:p w14:paraId="0411BC3B" w14:textId="77777777" w:rsidR="009A31D3" w:rsidRPr="007E4EDA" w:rsidRDefault="009A31D3" w:rsidP="009A31D3">
            <w:pPr>
              <w:jc w:val="center"/>
              <w:rPr>
                <w:sz w:val="22"/>
                <w:szCs w:val="22"/>
                <w:lang w:val="en-GB"/>
              </w:rPr>
            </w:pPr>
            <w:r>
              <w:rPr>
                <w:sz w:val="22"/>
                <w:szCs w:val="22"/>
                <w:lang w:val="en-GB"/>
              </w:rPr>
              <w:t>+</w:t>
            </w:r>
          </w:p>
        </w:tc>
        <w:tc>
          <w:tcPr>
            <w:tcW w:w="792" w:type="dxa"/>
            <w:tcBorders>
              <w:top w:val="nil"/>
              <w:left w:val="nil"/>
              <w:bottom w:val="nil"/>
              <w:right w:val="nil"/>
            </w:tcBorders>
            <w:noWrap/>
            <w:vAlign w:val="bottom"/>
            <w:hideMark/>
          </w:tcPr>
          <w:p w14:paraId="376EE4B2" w14:textId="77777777" w:rsidR="009A31D3" w:rsidRPr="007E4EDA" w:rsidRDefault="009A31D3" w:rsidP="009A31D3">
            <w:pPr>
              <w:jc w:val="center"/>
              <w:rPr>
                <w:sz w:val="22"/>
                <w:szCs w:val="22"/>
                <w:lang w:val="en-GB"/>
              </w:rPr>
            </w:pPr>
            <w:r>
              <w:rPr>
                <w:sz w:val="22"/>
                <w:szCs w:val="22"/>
                <w:lang w:val="en-GB"/>
              </w:rPr>
              <w:t>+</w:t>
            </w:r>
          </w:p>
        </w:tc>
        <w:tc>
          <w:tcPr>
            <w:tcW w:w="4140" w:type="dxa"/>
            <w:tcBorders>
              <w:top w:val="nil"/>
              <w:left w:val="nil"/>
              <w:bottom w:val="nil"/>
              <w:right w:val="nil"/>
            </w:tcBorders>
            <w:noWrap/>
            <w:vAlign w:val="bottom"/>
            <w:hideMark/>
          </w:tcPr>
          <w:p w14:paraId="34486285" w14:textId="4223806F" w:rsidR="009A31D3" w:rsidRPr="007E4EDA" w:rsidRDefault="00F463D1" w:rsidP="009A31D3">
            <w:pPr>
              <w:rPr>
                <w:sz w:val="22"/>
                <w:szCs w:val="22"/>
                <w:lang w:val="en-GB"/>
              </w:rPr>
            </w:pPr>
            <w:r>
              <w:rPr>
                <w:sz w:val="22"/>
                <w:szCs w:val="22"/>
                <w:lang w:val="en-GB"/>
              </w:rPr>
              <w:fldChar w:fldCharType="begin"/>
            </w:r>
            <w:r>
              <w:rPr>
                <w:sz w:val="22"/>
                <w:szCs w:val="22"/>
                <w:lang w:val="en-GB"/>
              </w:rPr>
              <w:instrText xml:space="preserve"> ADDIN ZOTERO_ITEM CSL_CITATION {"citationID":"aR36Y2dI","properties":{"unsorted":false,"formattedCitation":"(Muniesa et al., 2004)","plainCitation":"(Muniesa et al., 2004)","noteIndex":0},"citationItems":[{"id":29355,"uris":["http://zotero.org/users/19779089/items/A97BMLU7"],"itemData":{"id":29355,"type":"article-journal","citation-key":"muniesa2004","container-title":"Environmental Microbiology","DOI":"10.1111/j.1462-2920.2004.00604.x","issue":"7","note":"citation-key: muniesa2004","page":"716–725","PMID":"15186350","title":"Free &lt;span class=\"nocase\"&gt;Shiga toxin&lt;/span&gt; bacteriophages isolated from sewage showed diversity although the &lt;span class=\"nocase\"&gt;&lt;i&gt;stx&lt;/i&gt;&lt;/span&gt; genes appeared conserved","volume":"6","author":[{"family":"Muniesa","given":"M."},{"family":"Serra-Moreno","given":"R."},{"family":"Jofre","given":"J."}],"issued":{"date-parts":[["2004"]]}}}],"schema":"https://github.com/citation-style-language/schema/raw/master/csl-citation.json"} </w:instrText>
            </w:r>
            <w:r>
              <w:rPr>
                <w:sz w:val="22"/>
                <w:szCs w:val="22"/>
                <w:lang w:val="en-GB"/>
              </w:rPr>
              <w:fldChar w:fldCharType="separate"/>
            </w:r>
            <w:r>
              <w:rPr>
                <w:sz w:val="22"/>
                <w:lang w:val="en-GB"/>
              </w:rPr>
              <w:t>(Muniesa et al., 2004)</w:t>
            </w:r>
            <w:r>
              <w:rPr>
                <w:sz w:val="22"/>
                <w:szCs w:val="22"/>
                <w:lang w:val="en-GB"/>
              </w:rPr>
              <w:fldChar w:fldCharType="end"/>
            </w:r>
          </w:p>
        </w:tc>
      </w:tr>
      <w:tr w:rsidR="009A31D3" w:rsidRPr="007E4EDA" w14:paraId="27394B2A" w14:textId="77777777" w:rsidTr="00B5343D">
        <w:trPr>
          <w:trHeight w:val="295"/>
          <w:jc w:val="center"/>
        </w:trPr>
        <w:tc>
          <w:tcPr>
            <w:tcW w:w="3180" w:type="dxa"/>
            <w:tcBorders>
              <w:top w:val="nil"/>
              <w:left w:val="nil"/>
              <w:bottom w:val="nil"/>
              <w:right w:val="nil"/>
            </w:tcBorders>
            <w:noWrap/>
            <w:vAlign w:val="bottom"/>
            <w:hideMark/>
          </w:tcPr>
          <w:p w14:paraId="70221B75" w14:textId="77777777" w:rsidR="009A31D3" w:rsidRPr="007E4EDA" w:rsidRDefault="009A31D3" w:rsidP="009A31D3">
            <w:pPr>
              <w:ind w:firstLineChars="100" w:firstLine="220"/>
              <w:rPr>
                <w:i/>
                <w:iCs/>
                <w:color w:val="000000"/>
                <w:sz w:val="22"/>
                <w:szCs w:val="22"/>
                <w:lang w:val="en-GB"/>
              </w:rPr>
            </w:pPr>
            <w:r>
              <w:rPr>
                <w:i/>
                <w:iCs/>
                <w:color w:val="000000"/>
                <w:sz w:val="22"/>
                <w:szCs w:val="22"/>
                <w:lang w:val="en-GB"/>
              </w:rPr>
              <w:t xml:space="preserve">Shigella flexneri </w:t>
            </w:r>
            <w:r>
              <w:rPr>
                <w:color w:val="000000"/>
                <w:sz w:val="22"/>
                <w:szCs w:val="22"/>
                <w:lang w:val="en-GB"/>
              </w:rPr>
              <w:t>805-F</w:t>
            </w:r>
          </w:p>
        </w:tc>
        <w:tc>
          <w:tcPr>
            <w:tcW w:w="1750" w:type="dxa"/>
            <w:tcBorders>
              <w:top w:val="nil"/>
              <w:left w:val="nil"/>
              <w:bottom w:val="nil"/>
              <w:right w:val="nil"/>
            </w:tcBorders>
            <w:noWrap/>
            <w:vAlign w:val="bottom"/>
            <w:hideMark/>
          </w:tcPr>
          <w:p w14:paraId="67844DD0" w14:textId="77777777" w:rsidR="009A31D3" w:rsidRPr="007E4EDA" w:rsidRDefault="009A31D3" w:rsidP="009A31D3">
            <w:pPr>
              <w:jc w:val="center"/>
              <w:rPr>
                <w:sz w:val="22"/>
                <w:szCs w:val="22"/>
                <w:lang w:val="en-GB"/>
              </w:rPr>
            </w:pPr>
            <w:r>
              <w:rPr>
                <w:sz w:val="22"/>
                <w:szCs w:val="22"/>
                <w:lang w:val="en-GB"/>
              </w:rPr>
              <w:t>+</w:t>
            </w:r>
          </w:p>
        </w:tc>
        <w:tc>
          <w:tcPr>
            <w:tcW w:w="690" w:type="dxa"/>
            <w:tcBorders>
              <w:top w:val="nil"/>
              <w:left w:val="nil"/>
              <w:bottom w:val="nil"/>
              <w:right w:val="nil"/>
            </w:tcBorders>
            <w:noWrap/>
            <w:vAlign w:val="bottom"/>
            <w:hideMark/>
          </w:tcPr>
          <w:p w14:paraId="59AA1D92" w14:textId="77777777" w:rsidR="009A31D3" w:rsidRPr="007E4EDA" w:rsidRDefault="009A31D3" w:rsidP="009A31D3">
            <w:pPr>
              <w:jc w:val="center"/>
              <w:rPr>
                <w:sz w:val="22"/>
                <w:szCs w:val="22"/>
                <w:lang w:val="en-GB"/>
              </w:rPr>
            </w:pPr>
            <w:r>
              <w:rPr>
                <w:sz w:val="22"/>
                <w:szCs w:val="22"/>
                <w:lang w:val="en-GB"/>
              </w:rPr>
              <w:t>+</w:t>
            </w:r>
          </w:p>
        </w:tc>
        <w:tc>
          <w:tcPr>
            <w:tcW w:w="2008" w:type="dxa"/>
            <w:tcBorders>
              <w:top w:val="nil"/>
              <w:left w:val="nil"/>
              <w:bottom w:val="nil"/>
              <w:right w:val="nil"/>
            </w:tcBorders>
            <w:noWrap/>
            <w:vAlign w:val="bottom"/>
            <w:hideMark/>
          </w:tcPr>
          <w:p w14:paraId="6E3D514A" w14:textId="77777777" w:rsidR="009A31D3" w:rsidRPr="007E4EDA" w:rsidRDefault="009A31D3" w:rsidP="009A31D3">
            <w:pPr>
              <w:jc w:val="center"/>
              <w:rPr>
                <w:sz w:val="22"/>
                <w:szCs w:val="22"/>
                <w:lang w:val="en-GB"/>
              </w:rPr>
            </w:pPr>
            <w:r>
              <w:rPr>
                <w:sz w:val="22"/>
                <w:szCs w:val="22"/>
                <w:lang w:val="en-GB"/>
              </w:rPr>
              <w:t>+</w:t>
            </w:r>
          </w:p>
        </w:tc>
        <w:tc>
          <w:tcPr>
            <w:tcW w:w="792" w:type="dxa"/>
            <w:tcBorders>
              <w:top w:val="nil"/>
              <w:left w:val="nil"/>
              <w:bottom w:val="nil"/>
              <w:right w:val="nil"/>
            </w:tcBorders>
            <w:noWrap/>
            <w:vAlign w:val="bottom"/>
            <w:hideMark/>
          </w:tcPr>
          <w:p w14:paraId="41646943" w14:textId="77777777" w:rsidR="009A31D3" w:rsidRPr="007E4EDA" w:rsidRDefault="009A31D3" w:rsidP="009A31D3">
            <w:pPr>
              <w:jc w:val="center"/>
              <w:rPr>
                <w:sz w:val="22"/>
                <w:szCs w:val="22"/>
                <w:lang w:val="en-GB"/>
              </w:rPr>
            </w:pPr>
            <w:r>
              <w:rPr>
                <w:sz w:val="22"/>
                <w:szCs w:val="22"/>
                <w:lang w:val="en-GB"/>
              </w:rPr>
              <w:t>+</w:t>
            </w:r>
          </w:p>
        </w:tc>
        <w:tc>
          <w:tcPr>
            <w:tcW w:w="4140" w:type="dxa"/>
            <w:tcBorders>
              <w:top w:val="nil"/>
              <w:left w:val="nil"/>
              <w:bottom w:val="nil"/>
              <w:right w:val="nil"/>
            </w:tcBorders>
            <w:noWrap/>
            <w:vAlign w:val="bottom"/>
            <w:hideMark/>
          </w:tcPr>
          <w:p w14:paraId="4427000A" w14:textId="6702FEA2" w:rsidR="009A31D3" w:rsidRPr="007E4EDA" w:rsidRDefault="00F463D1" w:rsidP="009A31D3">
            <w:pPr>
              <w:rPr>
                <w:sz w:val="22"/>
                <w:szCs w:val="22"/>
                <w:lang w:val="en-GB"/>
              </w:rPr>
            </w:pPr>
            <w:r>
              <w:rPr>
                <w:sz w:val="22"/>
                <w:szCs w:val="22"/>
                <w:lang w:val="en-GB"/>
              </w:rPr>
              <w:fldChar w:fldCharType="begin"/>
            </w:r>
            <w:r>
              <w:rPr>
                <w:sz w:val="22"/>
                <w:szCs w:val="22"/>
                <w:lang w:val="en-GB"/>
              </w:rPr>
              <w:instrText xml:space="preserve"> ADDIN ZOTERO_ITEM CSL_CITATION {"citationID":"GDQHbNPe","properties":{"unsorted":false,"formattedCitation":"(Muniesa et al., 2004)","plainCitation":"(Muniesa et al., 2004)","noteIndex":0},"citationItems":[{"id":29355,"uris":["http://zotero.org/users/19779089/items/A97BMLU7"],"itemData":{"id":29355,"type":"article-journal","citation-key":"muniesa2004","container-title":"Environmental Microbiology","DOI":"10.1111/j.1462-2920.2004.00604.x","issue":"7","note":"citation-key: muniesa2004","page":"716–725","PMID":"15186350","title":"Free &lt;span class=\"nocase\"&gt;Shiga toxin&lt;/span&gt; bacteriophages isolated from sewage showed diversity although the &lt;span class=\"nocase\"&gt;&lt;i&gt;stx&lt;/i&gt;&lt;/span&gt; genes appeared conserved","volume":"6","author":[{"family":"Muniesa","given":"M."},{"family":"Serra-Moreno","given":"R."},{"family":"Jofre","given":"J."}],"issued":{"date-parts":[["2004"]]}}}],"schema":"https://github.com/citation-style-language/schema/raw/master/csl-citation.json"} </w:instrText>
            </w:r>
            <w:r>
              <w:rPr>
                <w:sz w:val="22"/>
                <w:szCs w:val="22"/>
                <w:lang w:val="en-GB"/>
              </w:rPr>
              <w:fldChar w:fldCharType="separate"/>
            </w:r>
            <w:r>
              <w:rPr>
                <w:sz w:val="22"/>
                <w:lang w:val="en-GB"/>
              </w:rPr>
              <w:t>(Muniesa et al., 2004)</w:t>
            </w:r>
            <w:r>
              <w:rPr>
                <w:sz w:val="22"/>
                <w:szCs w:val="22"/>
                <w:lang w:val="en-GB"/>
              </w:rPr>
              <w:fldChar w:fldCharType="end"/>
            </w:r>
          </w:p>
        </w:tc>
      </w:tr>
      <w:tr w:rsidR="009A31D3" w:rsidRPr="007E4EDA" w14:paraId="610ED704" w14:textId="77777777" w:rsidTr="00B5343D">
        <w:trPr>
          <w:trHeight w:val="295"/>
          <w:jc w:val="center"/>
        </w:trPr>
        <w:tc>
          <w:tcPr>
            <w:tcW w:w="3180" w:type="dxa"/>
            <w:tcBorders>
              <w:top w:val="nil"/>
              <w:left w:val="nil"/>
              <w:bottom w:val="nil"/>
              <w:right w:val="nil"/>
            </w:tcBorders>
            <w:noWrap/>
            <w:vAlign w:val="bottom"/>
            <w:hideMark/>
          </w:tcPr>
          <w:p w14:paraId="5C054154" w14:textId="77777777" w:rsidR="009A31D3" w:rsidRPr="007E4EDA" w:rsidRDefault="009A31D3" w:rsidP="009A31D3">
            <w:pPr>
              <w:ind w:firstLineChars="100" w:firstLine="220"/>
              <w:rPr>
                <w:i/>
                <w:iCs/>
                <w:color w:val="000000"/>
                <w:sz w:val="22"/>
                <w:szCs w:val="22"/>
                <w:lang w:val="en-GB"/>
              </w:rPr>
            </w:pPr>
            <w:r>
              <w:rPr>
                <w:i/>
                <w:iCs/>
                <w:color w:val="000000"/>
                <w:sz w:val="22"/>
                <w:szCs w:val="22"/>
                <w:lang w:val="en-GB"/>
              </w:rPr>
              <w:t xml:space="preserve">Shigella sonnei </w:t>
            </w:r>
            <w:r>
              <w:rPr>
                <w:color w:val="000000"/>
                <w:sz w:val="22"/>
                <w:szCs w:val="22"/>
                <w:lang w:val="en-GB"/>
              </w:rPr>
              <w:t>635-F</w:t>
            </w:r>
          </w:p>
        </w:tc>
        <w:tc>
          <w:tcPr>
            <w:tcW w:w="1750" w:type="dxa"/>
            <w:tcBorders>
              <w:top w:val="nil"/>
              <w:left w:val="nil"/>
              <w:bottom w:val="nil"/>
              <w:right w:val="nil"/>
            </w:tcBorders>
            <w:noWrap/>
            <w:vAlign w:val="bottom"/>
            <w:hideMark/>
          </w:tcPr>
          <w:p w14:paraId="50A820C3" w14:textId="77777777" w:rsidR="009A31D3" w:rsidRPr="007E4EDA" w:rsidRDefault="009A31D3" w:rsidP="009A31D3">
            <w:pPr>
              <w:jc w:val="center"/>
              <w:rPr>
                <w:color w:val="000000"/>
                <w:sz w:val="22"/>
                <w:szCs w:val="22"/>
                <w:lang w:val="en-GB"/>
              </w:rPr>
            </w:pPr>
            <w:r>
              <w:rPr>
                <w:color w:val="000000"/>
                <w:sz w:val="22"/>
                <w:szCs w:val="22"/>
                <w:lang w:val="en-GB"/>
              </w:rPr>
              <w:t>+</w:t>
            </w:r>
          </w:p>
        </w:tc>
        <w:tc>
          <w:tcPr>
            <w:tcW w:w="690" w:type="dxa"/>
            <w:tcBorders>
              <w:top w:val="nil"/>
              <w:left w:val="nil"/>
              <w:bottom w:val="nil"/>
              <w:right w:val="nil"/>
            </w:tcBorders>
            <w:noWrap/>
            <w:vAlign w:val="bottom"/>
            <w:hideMark/>
          </w:tcPr>
          <w:p w14:paraId="5CFDAC3C" w14:textId="77777777" w:rsidR="009A31D3" w:rsidRPr="007E4EDA" w:rsidRDefault="009A31D3" w:rsidP="009A31D3">
            <w:pPr>
              <w:jc w:val="center"/>
              <w:rPr>
                <w:color w:val="000000"/>
                <w:sz w:val="22"/>
                <w:szCs w:val="22"/>
                <w:lang w:val="en-GB"/>
              </w:rPr>
            </w:pPr>
            <w:r>
              <w:rPr>
                <w:color w:val="000000"/>
                <w:sz w:val="22"/>
                <w:szCs w:val="22"/>
                <w:lang w:val="en-GB"/>
              </w:rPr>
              <w:t>+</w:t>
            </w:r>
          </w:p>
        </w:tc>
        <w:tc>
          <w:tcPr>
            <w:tcW w:w="2008" w:type="dxa"/>
            <w:tcBorders>
              <w:top w:val="nil"/>
              <w:left w:val="nil"/>
              <w:bottom w:val="nil"/>
              <w:right w:val="nil"/>
            </w:tcBorders>
            <w:noWrap/>
            <w:vAlign w:val="bottom"/>
            <w:hideMark/>
          </w:tcPr>
          <w:p w14:paraId="0AC55A02" w14:textId="77777777" w:rsidR="009A31D3" w:rsidRPr="007E4EDA" w:rsidRDefault="009A31D3" w:rsidP="009A31D3">
            <w:pPr>
              <w:jc w:val="center"/>
              <w:rPr>
                <w:color w:val="000000"/>
                <w:sz w:val="22"/>
                <w:szCs w:val="22"/>
                <w:lang w:val="en-GB"/>
              </w:rPr>
            </w:pPr>
            <w:r>
              <w:rPr>
                <w:color w:val="000000"/>
                <w:sz w:val="22"/>
                <w:szCs w:val="22"/>
                <w:lang w:val="en-GB"/>
              </w:rPr>
              <w:t>+</w:t>
            </w:r>
          </w:p>
        </w:tc>
        <w:tc>
          <w:tcPr>
            <w:tcW w:w="792" w:type="dxa"/>
            <w:tcBorders>
              <w:top w:val="nil"/>
              <w:left w:val="nil"/>
              <w:bottom w:val="nil"/>
              <w:right w:val="nil"/>
            </w:tcBorders>
            <w:noWrap/>
            <w:vAlign w:val="bottom"/>
            <w:hideMark/>
          </w:tcPr>
          <w:p w14:paraId="501ABAE5" w14:textId="77777777" w:rsidR="009A31D3" w:rsidRPr="007E4EDA" w:rsidRDefault="009A31D3" w:rsidP="009A31D3">
            <w:pPr>
              <w:jc w:val="center"/>
              <w:rPr>
                <w:color w:val="000000"/>
                <w:sz w:val="22"/>
                <w:szCs w:val="22"/>
                <w:lang w:val="en-GB"/>
              </w:rPr>
            </w:pPr>
            <w:r>
              <w:rPr>
                <w:color w:val="000000"/>
                <w:sz w:val="22"/>
                <w:szCs w:val="22"/>
                <w:lang w:val="en-GB"/>
              </w:rPr>
              <w:t>+</w:t>
            </w:r>
          </w:p>
        </w:tc>
        <w:tc>
          <w:tcPr>
            <w:tcW w:w="4140" w:type="dxa"/>
            <w:tcBorders>
              <w:top w:val="nil"/>
              <w:left w:val="nil"/>
              <w:bottom w:val="nil"/>
              <w:right w:val="nil"/>
            </w:tcBorders>
            <w:noWrap/>
            <w:vAlign w:val="bottom"/>
            <w:hideMark/>
          </w:tcPr>
          <w:p w14:paraId="2C80B790" w14:textId="78EF84A9" w:rsidR="009A31D3" w:rsidRPr="007E4EDA" w:rsidRDefault="00F463D1" w:rsidP="009A31D3">
            <w:pPr>
              <w:rPr>
                <w:sz w:val="22"/>
                <w:szCs w:val="22"/>
                <w:lang w:val="en-GB"/>
              </w:rPr>
            </w:pPr>
            <w:r>
              <w:rPr>
                <w:sz w:val="22"/>
                <w:szCs w:val="22"/>
                <w:lang w:val="en-GB"/>
              </w:rPr>
              <w:fldChar w:fldCharType="begin"/>
            </w:r>
            <w:r>
              <w:rPr>
                <w:sz w:val="22"/>
                <w:szCs w:val="22"/>
                <w:lang w:val="en-GB"/>
              </w:rPr>
              <w:instrText xml:space="preserve"> ADDIN ZOTERO_ITEM CSL_CITATION {"citationID":"FT6arE6k","properties":{"unsorted":false,"formattedCitation":"(Muniesa et al., 2004)","plainCitation":"(Muniesa et al., 2004)","noteIndex":0},"citationItems":[{"id":29355,"uris":["http://zotero.org/users/19779089/items/A97BMLU7"],"itemData":{"id":29355,"type":"article-journal","citation-key":"muniesa2004","container-title":"Environmental Microbiology","DOI":"10.1111/j.1462-2920.2004.00604.x","issue":"7","note":"citation-key: muniesa2004","page":"716–725","PMID":"15186350","title":"Free &lt;span class=\"nocase\"&gt;Shiga toxin&lt;/span&gt; bacteriophages isolated from sewage showed diversity although the &lt;span class=\"nocase\"&gt;&lt;i&gt;stx&lt;/i&gt;&lt;/span&gt; genes appeared conserved","volume":"6","author":[{"family":"Muniesa","given":"M."},{"family":"Serra-Moreno","given":"R."},{"family":"Jofre","given":"J."}],"issued":{"date-parts":[["2004"]]}}}],"schema":"https://github.com/citation-style-language/schema/raw/master/csl-citation.json"} </w:instrText>
            </w:r>
            <w:r>
              <w:rPr>
                <w:sz w:val="22"/>
                <w:szCs w:val="22"/>
                <w:lang w:val="en-GB"/>
              </w:rPr>
              <w:fldChar w:fldCharType="separate"/>
            </w:r>
            <w:r>
              <w:rPr>
                <w:sz w:val="22"/>
                <w:lang w:val="en-GB"/>
              </w:rPr>
              <w:t>(Muniesa et al., 2004)</w:t>
            </w:r>
            <w:r>
              <w:rPr>
                <w:sz w:val="22"/>
                <w:szCs w:val="22"/>
                <w:lang w:val="en-GB"/>
              </w:rPr>
              <w:fldChar w:fldCharType="end"/>
            </w:r>
          </w:p>
        </w:tc>
      </w:tr>
      <w:tr w:rsidR="009A31D3" w:rsidRPr="007E4EDA" w14:paraId="47CADF37" w14:textId="77777777" w:rsidTr="00B5343D">
        <w:trPr>
          <w:trHeight w:val="295"/>
          <w:jc w:val="center"/>
        </w:trPr>
        <w:tc>
          <w:tcPr>
            <w:tcW w:w="3180" w:type="dxa"/>
            <w:tcBorders>
              <w:top w:val="nil"/>
              <w:left w:val="nil"/>
              <w:bottom w:val="nil"/>
              <w:right w:val="nil"/>
            </w:tcBorders>
            <w:noWrap/>
            <w:vAlign w:val="bottom"/>
            <w:hideMark/>
          </w:tcPr>
          <w:p w14:paraId="115BAE24" w14:textId="77777777" w:rsidR="009A31D3" w:rsidRPr="007E4EDA" w:rsidRDefault="009A31D3" w:rsidP="009A31D3">
            <w:pPr>
              <w:rPr>
                <w:i/>
                <w:iCs/>
                <w:sz w:val="22"/>
                <w:szCs w:val="22"/>
                <w:lang w:val="en-GB"/>
              </w:rPr>
            </w:pPr>
            <w:r>
              <w:rPr>
                <w:i/>
                <w:iCs/>
                <w:sz w:val="22"/>
                <w:szCs w:val="22"/>
                <w:lang w:val="en-GB"/>
              </w:rPr>
              <w:t>Staphylococcus aureus</w:t>
            </w:r>
            <w:r>
              <w:rPr>
                <w:sz w:val="22"/>
                <w:szCs w:val="22"/>
                <w:lang w:val="en-GB"/>
              </w:rPr>
              <w:t xml:space="preserve"> RN27</w:t>
            </w:r>
          </w:p>
        </w:tc>
        <w:tc>
          <w:tcPr>
            <w:tcW w:w="1750" w:type="dxa"/>
            <w:tcBorders>
              <w:top w:val="nil"/>
              <w:left w:val="nil"/>
              <w:bottom w:val="nil"/>
              <w:right w:val="nil"/>
            </w:tcBorders>
            <w:noWrap/>
            <w:vAlign w:val="bottom"/>
            <w:hideMark/>
          </w:tcPr>
          <w:p w14:paraId="05344DF5" w14:textId="77777777" w:rsidR="009A31D3" w:rsidRPr="007E4EDA" w:rsidRDefault="009A31D3" w:rsidP="009A31D3">
            <w:pPr>
              <w:jc w:val="center"/>
              <w:rPr>
                <w:color w:val="000000"/>
                <w:sz w:val="22"/>
                <w:szCs w:val="22"/>
                <w:lang w:val="en-GB"/>
              </w:rPr>
            </w:pPr>
            <w:r>
              <w:rPr>
                <w:color w:val="000000"/>
                <w:sz w:val="22"/>
                <w:szCs w:val="22"/>
                <w:lang w:val="en-GB"/>
              </w:rPr>
              <w:t>-</w:t>
            </w:r>
          </w:p>
        </w:tc>
        <w:tc>
          <w:tcPr>
            <w:tcW w:w="690" w:type="dxa"/>
            <w:tcBorders>
              <w:top w:val="nil"/>
              <w:left w:val="nil"/>
              <w:bottom w:val="nil"/>
              <w:right w:val="nil"/>
            </w:tcBorders>
            <w:noWrap/>
            <w:vAlign w:val="bottom"/>
            <w:hideMark/>
          </w:tcPr>
          <w:p w14:paraId="429F704B" w14:textId="77777777" w:rsidR="009A31D3" w:rsidRPr="007E4EDA" w:rsidRDefault="009A31D3" w:rsidP="009A31D3">
            <w:pPr>
              <w:jc w:val="center"/>
              <w:rPr>
                <w:color w:val="000000"/>
                <w:sz w:val="22"/>
                <w:szCs w:val="22"/>
                <w:lang w:val="en-GB"/>
              </w:rPr>
            </w:pPr>
            <w:r>
              <w:rPr>
                <w:color w:val="000000"/>
                <w:sz w:val="22"/>
                <w:szCs w:val="22"/>
                <w:lang w:val="en-GB"/>
              </w:rPr>
              <w:t>-</w:t>
            </w:r>
          </w:p>
        </w:tc>
        <w:tc>
          <w:tcPr>
            <w:tcW w:w="2008" w:type="dxa"/>
            <w:tcBorders>
              <w:top w:val="nil"/>
              <w:left w:val="nil"/>
              <w:bottom w:val="nil"/>
              <w:right w:val="nil"/>
            </w:tcBorders>
            <w:noWrap/>
            <w:vAlign w:val="bottom"/>
            <w:hideMark/>
          </w:tcPr>
          <w:p w14:paraId="79A3C13D" w14:textId="77777777" w:rsidR="009A31D3" w:rsidRPr="007E4EDA" w:rsidRDefault="009A31D3" w:rsidP="009A31D3">
            <w:pPr>
              <w:jc w:val="center"/>
              <w:rPr>
                <w:color w:val="000000"/>
                <w:sz w:val="22"/>
                <w:szCs w:val="22"/>
                <w:lang w:val="en-GB"/>
              </w:rPr>
            </w:pPr>
            <w:r>
              <w:rPr>
                <w:color w:val="000000"/>
                <w:sz w:val="22"/>
                <w:szCs w:val="22"/>
                <w:lang w:val="en-GB"/>
              </w:rPr>
              <w:t>-</w:t>
            </w:r>
          </w:p>
        </w:tc>
        <w:tc>
          <w:tcPr>
            <w:tcW w:w="792" w:type="dxa"/>
            <w:tcBorders>
              <w:top w:val="nil"/>
              <w:left w:val="nil"/>
              <w:bottom w:val="nil"/>
              <w:right w:val="nil"/>
            </w:tcBorders>
            <w:noWrap/>
            <w:vAlign w:val="bottom"/>
            <w:hideMark/>
          </w:tcPr>
          <w:p w14:paraId="1A3932C1" w14:textId="77777777" w:rsidR="009A31D3" w:rsidRPr="007E4EDA" w:rsidRDefault="009A31D3" w:rsidP="009A31D3">
            <w:pPr>
              <w:jc w:val="center"/>
              <w:rPr>
                <w:color w:val="000000"/>
                <w:sz w:val="22"/>
                <w:szCs w:val="22"/>
                <w:lang w:val="en-GB"/>
              </w:rPr>
            </w:pPr>
            <w:r>
              <w:rPr>
                <w:color w:val="000000"/>
                <w:sz w:val="22"/>
                <w:szCs w:val="22"/>
                <w:lang w:val="en-GB"/>
              </w:rPr>
              <w:t>-</w:t>
            </w:r>
          </w:p>
        </w:tc>
        <w:tc>
          <w:tcPr>
            <w:tcW w:w="4140" w:type="dxa"/>
            <w:tcBorders>
              <w:top w:val="nil"/>
              <w:left w:val="nil"/>
              <w:bottom w:val="nil"/>
              <w:right w:val="nil"/>
            </w:tcBorders>
            <w:noWrap/>
            <w:vAlign w:val="bottom"/>
            <w:hideMark/>
          </w:tcPr>
          <w:p w14:paraId="1F5CD7AE" w14:textId="17C1323F" w:rsidR="009A31D3" w:rsidRPr="007E4EDA" w:rsidRDefault="00F463D1" w:rsidP="009A31D3">
            <w:pPr>
              <w:rPr>
                <w:sz w:val="22"/>
                <w:szCs w:val="22"/>
                <w:lang w:val="en-GB"/>
              </w:rPr>
            </w:pPr>
            <w:r>
              <w:rPr>
                <w:sz w:val="22"/>
                <w:szCs w:val="22"/>
                <w:lang w:val="en-GB"/>
              </w:rPr>
              <w:fldChar w:fldCharType="begin"/>
            </w:r>
            <w:r>
              <w:rPr>
                <w:sz w:val="22"/>
                <w:szCs w:val="22"/>
                <w:lang w:val="en-GB"/>
              </w:rPr>
              <w:instrText xml:space="preserve"> ADDIN ZOTERO_ITEM CSL_CITATION {"citationID":"kjwm1inT","properties":{"unsorted":false,"formattedCitation":"(Ubeda et al., 2005)","plainCitation":"(Ubeda et al., 2005)","noteIndex":0},"citationItems":[{"id":29360,"uris":["http://zotero.org/users/19779089/items/EPN4IFSA"],"itemData":{"id":29360,"type":"article-journal","citation-key":"ubeda2005","container-title":"Molecular Microbiology","DOI":"10.1111/j.1365-2958.2005.04584.x","issue":"3","note":"citation-key: ubeda2005","page":"836–844","PMID":"15819636","title":"Antibiotic-induced SOS response promotes horizontal dissemination of pathogenicity island-encoded virulence factors in staphylococci","volume":"56","author":[{"family":"Ubeda","given":"C."},{"family":"Maiques","given":"E."},{"family":"Knecht","given":"E."},{"family":"Lasa","given":"I."},{"family":"Novick","given":"R. P."},{"family":"Penadés","given":"J. R."}],"issued":{"date-parts":[["2005"]]}}}],"schema":"https://github.com/citation-style-language/schema/raw/master/csl-citation.json"} </w:instrText>
            </w:r>
            <w:r>
              <w:rPr>
                <w:sz w:val="22"/>
                <w:szCs w:val="22"/>
                <w:lang w:val="en-GB"/>
              </w:rPr>
              <w:fldChar w:fldCharType="separate"/>
            </w:r>
            <w:r>
              <w:rPr>
                <w:sz w:val="22"/>
                <w:lang w:val="en-GB"/>
              </w:rPr>
              <w:t>(Ubeda et al., 2005)</w:t>
            </w:r>
            <w:r>
              <w:rPr>
                <w:sz w:val="22"/>
                <w:szCs w:val="22"/>
                <w:lang w:val="en-GB"/>
              </w:rPr>
              <w:fldChar w:fldCharType="end"/>
            </w:r>
          </w:p>
        </w:tc>
      </w:tr>
    </w:tbl>
    <w:p w14:paraId="40A9801C" w14:textId="77777777" w:rsidR="00667D4A" w:rsidRPr="007E4EDA" w:rsidRDefault="00667D4A" w:rsidP="00667D4A">
      <w:pPr>
        <w:spacing w:after="80" w:line="360" w:lineRule="auto"/>
        <w:rPr>
          <w:sz w:val="24"/>
          <w:szCs w:val="24"/>
          <w:lang w:val="en-GB"/>
        </w:rPr>
      </w:pPr>
    </w:p>
    <w:p w14:paraId="41A4942E" w14:textId="77777777" w:rsidR="00667D4A" w:rsidRPr="007E4EDA" w:rsidRDefault="00667D4A" w:rsidP="00667D4A">
      <w:pPr>
        <w:spacing w:after="80" w:line="360" w:lineRule="auto"/>
        <w:rPr>
          <w:sz w:val="24"/>
          <w:szCs w:val="24"/>
          <w:lang w:val="en-GB"/>
        </w:rPr>
      </w:pPr>
      <w:r>
        <w:rPr>
          <w:sz w:val="24"/>
          <w:szCs w:val="24"/>
          <w:lang w:val="en-GB"/>
        </w:rPr>
        <w:br w:type="page"/>
      </w:r>
    </w:p>
    <w:p w14:paraId="61D572AA" w14:textId="77777777" w:rsidR="00667D4A" w:rsidRPr="007E4EDA" w:rsidRDefault="00667D4A" w:rsidP="00667D4A">
      <w:pPr>
        <w:spacing w:after="80" w:line="360" w:lineRule="auto"/>
        <w:rPr>
          <w:sz w:val="24"/>
          <w:szCs w:val="24"/>
          <w:lang w:val="en-GB"/>
        </w:rPr>
      </w:pPr>
    </w:p>
    <w:p w14:paraId="549CC850" w14:textId="5CF04857" w:rsidR="00667D4A" w:rsidRPr="007E4EDA" w:rsidRDefault="00667D4A" w:rsidP="00667D4A">
      <w:pPr>
        <w:spacing w:after="120" w:line="360" w:lineRule="auto"/>
        <w:jc w:val="both"/>
        <w:rPr>
          <w:sz w:val="24"/>
          <w:szCs w:val="24"/>
          <w:lang w:val="en-GB"/>
        </w:rPr>
      </w:pPr>
      <w:r>
        <w:rPr>
          <w:b/>
          <w:bCs/>
          <w:sz w:val="24"/>
          <w:szCs w:val="24"/>
          <w:lang w:val="en-GB"/>
        </w:rPr>
        <w:t>Table 3.</w:t>
      </w:r>
      <w:r>
        <w:rPr>
          <w:sz w:val="24"/>
          <w:szCs w:val="24"/>
          <w:lang w:val="en-GB"/>
        </w:rPr>
        <w:t xml:space="preserve"> Standard deviation of reproducibility (SR, log10 MPN/100 mL) and coefficient of variation (CV, %) of the ENUMERA®-Coli100 method for </w:t>
      </w:r>
      <w:r>
        <w:rPr>
          <w:i/>
          <w:iCs/>
          <w:sz w:val="24"/>
          <w:szCs w:val="24"/>
          <w:lang w:val="en-GB"/>
        </w:rPr>
        <w:t>E. coli</w:t>
      </w:r>
      <w:r>
        <w:rPr>
          <w:sz w:val="24"/>
          <w:szCs w:val="24"/>
          <w:lang w:val="en-GB"/>
        </w:rPr>
        <w:t xml:space="preserve"> and total coliforms in the different water matrices analysed. Bold values correspond to the overall estimates obtained when all matrices were considered together.</w:t>
      </w:r>
    </w:p>
    <w:p w14:paraId="085B855F" w14:textId="77777777" w:rsidR="00667D4A" w:rsidRPr="007E4EDA" w:rsidRDefault="00667D4A" w:rsidP="00667D4A">
      <w:pPr>
        <w:spacing w:after="120" w:line="360" w:lineRule="auto"/>
        <w:jc w:val="both"/>
        <w:rPr>
          <w:sz w:val="24"/>
          <w:szCs w:val="24"/>
          <w:lang w:val="en-GB"/>
        </w:rPr>
      </w:pPr>
    </w:p>
    <w:tbl>
      <w:tblPr>
        <w:tblStyle w:val="Taulaambquadrcula1clara"/>
        <w:tblW w:w="808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2410"/>
        <w:gridCol w:w="1559"/>
        <w:gridCol w:w="1276"/>
        <w:gridCol w:w="1418"/>
        <w:gridCol w:w="1417"/>
      </w:tblGrid>
      <w:tr w:rsidR="00667D4A" w:rsidRPr="007E4EDA" w14:paraId="76423245" w14:textId="77777777" w:rsidTr="00B5343D">
        <w:trPr>
          <w:trHeight w:val="293"/>
          <w:jc w:val="center"/>
        </w:trPr>
        <w:tc>
          <w:tcPr>
            <w:tcW w:w="2410" w:type="dxa"/>
            <w:tcBorders>
              <w:top w:val="single" w:sz="4" w:space="0" w:color="auto"/>
              <w:bottom w:val="single" w:sz="4" w:space="0" w:color="auto"/>
            </w:tcBorders>
          </w:tcPr>
          <w:p w14:paraId="3A184496" w14:textId="77777777" w:rsidR="00667D4A" w:rsidRPr="007E4EDA" w:rsidRDefault="00667D4A" w:rsidP="00D669D7">
            <w:pPr>
              <w:jc w:val="center"/>
              <w:rPr>
                <w:sz w:val="22"/>
                <w:szCs w:val="22"/>
                <w:lang w:val="en-GB"/>
              </w:rPr>
            </w:pPr>
            <w:r>
              <w:rPr>
                <w:b/>
                <w:bCs/>
                <w:sz w:val="22"/>
                <w:szCs w:val="22"/>
                <w:lang w:val="en-GB"/>
              </w:rPr>
              <w:t>Matrix</w:t>
            </w:r>
          </w:p>
        </w:tc>
        <w:tc>
          <w:tcPr>
            <w:tcW w:w="2835" w:type="dxa"/>
            <w:gridSpan w:val="2"/>
            <w:tcBorders>
              <w:top w:val="single" w:sz="4" w:space="0" w:color="auto"/>
              <w:bottom w:val="single" w:sz="4" w:space="0" w:color="auto"/>
            </w:tcBorders>
          </w:tcPr>
          <w:p w14:paraId="500BF560" w14:textId="77777777" w:rsidR="00667D4A" w:rsidRPr="007E4EDA" w:rsidRDefault="00667D4A" w:rsidP="00D669D7">
            <w:pPr>
              <w:spacing w:after="120"/>
              <w:jc w:val="center"/>
              <w:rPr>
                <w:b/>
                <w:bCs/>
                <w:sz w:val="22"/>
                <w:szCs w:val="22"/>
                <w:lang w:val="en-GB"/>
              </w:rPr>
            </w:pPr>
            <w:r>
              <w:rPr>
                <w:b/>
                <w:bCs/>
                <w:i/>
                <w:iCs/>
                <w:sz w:val="22"/>
                <w:szCs w:val="22"/>
                <w:lang w:val="en-GB"/>
              </w:rPr>
              <w:t>E. coli</w:t>
            </w:r>
          </w:p>
        </w:tc>
        <w:tc>
          <w:tcPr>
            <w:tcW w:w="2835" w:type="dxa"/>
            <w:gridSpan w:val="2"/>
            <w:tcBorders>
              <w:top w:val="single" w:sz="4" w:space="0" w:color="auto"/>
              <w:bottom w:val="single" w:sz="4" w:space="0" w:color="auto"/>
            </w:tcBorders>
          </w:tcPr>
          <w:p w14:paraId="75D13744" w14:textId="77777777" w:rsidR="00667D4A" w:rsidRPr="007E4EDA" w:rsidRDefault="00667D4A" w:rsidP="00D669D7">
            <w:pPr>
              <w:spacing w:after="120"/>
              <w:jc w:val="center"/>
              <w:rPr>
                <w:sz w:val="22"/>
                <w:szCs w:val="22"/>
                <w:lang w:val="en-GB"/>
              </w:rPr>
            </w:pPr>
            <w:r>
              <w:rPr>
                <w:b/>
                <w:bCs/>
                <w:sz w:val="22"/>
                <w:szCs w:val="22"/>
                <w:lang w:val="en-GB"/>
              </w:rPr>
              <w:t>Total coliforms</w:t>
            </w:r>
          </w:p>
        </w:tc>
      </w:tr>
      <w:tr w:rsidR="00667D4A" w:rsidRPr="007E4EDA" w14:paraId="6C8F5891" w14:textId="77777777" w:rsidTr="00D669D7">
        <w:trPr>
          <w:jc w:val="center"/>
        </w:trPr>
        <w:tc>
          <w:tcPr>
            <w:tcW w:w="2410" w:type="dxa"/>
            <w:tcBorders>
              <w:top w:val="single" w:sz="4" w:space="0" w:color="auto"/>
              <w:bottom w:val="single" w:sz="4" w:space="0" w:color="auto"/>
            </w:tcBorders>
          </w:tcPr>
          <w:p w14:paraId="648F89F5" w14:textId="77777777" w:rsidR="00667D4A" w:rsidRPr="007E4EDA" w:rsidRDefault="00667D4A" w:rsidP="00D669D7">
            <w:pPr>
              <w:jc w:val="center"/>
              <w:rPr>
                <w:sz w:val="22"/>
                <w:szCs w:val="22"/>
                <w:lang w:val="en-GB"/>
              </w:rPr>
            </w:pPr>
          </w:p>
        </w:tc>
        <w:tc>
          <w:tcPr>
            <w:tcW w:w="1559" w:type="dxa"/>
            <w:tcBorders>
              <w:top w:val="single" w:sz="4" w:space="0" w:color="auto"/>
              <w:bottom w:val="single" w:sz="4" w:space="0" w:color="auto"/>
            </w:tcBorders>
          </w:tcPr>
          <w:p w14:paraId="71AC76CF" w14:textId="77777777" w:rsidR="00667D4A" w:rsidRPr="007E4EDA" w:rsidRDefault="00667D4A" w:rsidP="00D669D7">
            <w:pPr>
              <w:jc w:val="center"/>
              <w:rPr>
                <w:sz w:val="22"/>
                <w:szCs w:val="22"/>
                <w:lang w:val="en-GB"/>
              </w:rPr>
            </w:pPr>
            <w:r>
              <w:rPr>
                <w:b/>
                <w:bCs/>
                <w:sz w:val="22"/>
                <w:szCs w:val="22"/>
                <w:lang w:val="en-GB"/>
              </w:rPr>
              <w:t>SR (log₁₀)</w:t>
            </w:r>
          </w:p>
        </w:tc>
        <w:tc>
          <w:tcPr>
            <w:tcW w:w="1276" w:type="dxa"/>
            <w:tcBorders>
              <w:top w:val="single" w:sz="4" w:space="0" w:color="auto"/>
              <w:bottom w:val="single" w:sz="4" w:space="0" w:color="auto"/>
            </w:tcBorders>
          </w:tcPr>
          <w:p w14:paraId="0056D83E" w14:textId="77777777" w:rsidR="00667D4A" w:rsidRPr="007E4EDA" w:rsidRDefault="00667D4A" w:rsidP="00D669D7">
            <w:pPr>
              <w:jc w:val="center"/>
              <w:rPr>
                <w:sz w:val="22"/>
                <w:szCs w:val="22"/>
                <w:lang w:val="en-GB"/>
              </w:rPr>
            </w:pPr>
            <w:r>
              <w:rPr>
                <w:b/>
                <w:bCs/>
                <w:sz w:val="22"/>
                <w:szCs w:val="22"/>
                <w:lang w:val="en-GB"/>
              </w:rPr>
              <w:t>CV (%)</w:t>
            </w:r>
          </w:p>
        </w:tc>
        <w:tc>
          <w:tcPr>
            <w:tcW w:w="1418" w:type="dxa"/>
            <w:tcBorders>
              <w:top w:val="single" w:sz="4" w:space="0" w:color="auto"/>
              <w:bottom w:val="single" w:sz="4" w:space="0" w:color="auto"/>
            </w:tcBorders>
          </w:tcPr>
          <w:p w14:paraId="1EB26B83" w14:textId="77777777" w:rsidR="00667D4A" w:rsidRPr="007E4EDA" w:rsidRDefault="00667D4A" w:rsidP="00D669D7">
            <w:pPr>
              <w:jc w:val="center"/>
              <w:rPr>
                <w:sz w:val="22"/>
                <w:szCs w:val="22"/>
                <w:lang w:val="en-GB"/>
              </w:rPr>
            </w:pPr>
            <w:r>
              <w:rPr>
                <w:b/>
                <w:bCs/>
                <w:sz w:val="22"/>
                <w:szCs w:val="22"/>
                <w:lang w:val="en-GB"/>
              </w:rPr>
              <w:t>SR (log₁₀)</w:t>
            </w:r>
          </w:p>
        </w:tc>
        <w:tc>
          <w:tcPr>
            <w:tcW w:w="1417" w:type="dxa"/>
            <w:tcBorders>
              <w:top w:val="single" w:sz="4" w:space="0" w:color="auto"/>
              <w:bottom w:val="single" w:sz="4" w:space="0" w:color="auto"/>
            </w:tcBorders>
          </w:tcPr>
          <w:p w14:paraId="3DD341C8" w14:textId="77777777" w:rsidR="00667D4A" w:rsidRPr="007E4EDA" w:rsidRDefault="00667D4A" w:rsidP="00D669D7">
            <w:pPr>
              <w:jc w:val="center"/>
              <w:rPr>
                <w:sz w:val="22"/>
                <w:szCs w:val="22"/>
                <w:lang w:val="en-GB"/>
              </w:rPr>
            </w:pPr>
            <w:r>
              <w:rPr>
                <w:b/>
                <w:bCs/>
                <w:sz w:val="22"/>
                <w:szCs w:val="22"/>
                <w:lang w:val="en-GB"/>
              </w:rPr>
              <w:t>CV (%)</w:t>
            </w:r>
          </w:p>
        </w:tc>
      </w:tr>
      <w:tr w:rsidR="00667D4A" w:rsidRPr="007E4EDA" w14:paraId="529C4C41" w14:textId="77777777" w:rsidTr="00D669D7">
        <w:trPr>
          <w:jc w:val="center"/>
        </w:trPr>
        <w:tc>
          <w:tcPr>
            <w:tcW w:w="2410" w:type="dxa"/>
            <w:tcBorders>
              <w:top w:val="single" w:sz="4" w:space="0" w:color="auto"/>
            </w:tcBorders>
          </w:tcPr>
          <w:p w14:paraId="52459462" w14:textId="77777777" w:rsidR="00667D4A" w:rsidRPr="007E4EDA" w:rsidRDefault="00667D4A" w:rsidP="00D669D7">
            <w:pPr>
              <w:rPr>
                <w:sz w:val="22"/>
                <w:szCs w:val="22"/>
                <w:lang w:val="en-GB"/>
              </w:rPr>
            </w:pPr>
            <w:r>
              <w:rPr>
                <w:sz w:val="22"/>
                <w:szCs w:val="22"/>
                <w:lang w:val="en-GB"/>
              </w:rPr>
              <w:t>Drinking water</w:t>
            </w:r>
          </w:p>
        </w:tc>
        <w:tc>
          <w:tcPr>
            <w:tcW w:w="1559" w:type="dxa"/>
            <w:tcBorders>
              <w:top w:val="single" w:sz="4" w:space="0" w:color="auto"/>
            </w:tcBorders>
          </w:tcPr>
          <w:p w14:paraId="525A480C" w14:textId="4C27B50C" w:rsidR="00667D4A" w:rsidRPr="007E4EDA" w:rsidRDefault="00667D4A" w:rsidP="00D669D7">
            <w:pPr>
              <w:jc w:val="center"/>
              <w:rPr>
                <w:sz w:val="22"/>
                <w:szCs w:val="22"/>
                <w:lang w:val="en-GB"/>
              </w:rPr>
            </w:pPr>
            <w:r>
              <w:rPr>
                <w:sz w:val="22"/>
                <w:szCs w:val="22"/>
                <w:lang w:val="en-GB"/>
              </w:rPr>
              <w:t>0.14</w:t>
            </w:r>
          </w:p>
        </w:tc>
        <w:tc>
          <w:tcPr>
            <w:tcW w:w="1276" w:type="dxa"/>
            <w:tcBorders>
              <w:top w:val="single" w:sz="4" w:space="0" w:color="auto"/>
            </w:tcBorders>
          </w:tcPr>
          <w:p w14:paraId="6C8AC308" w14:textId="4227CAD1" w:rsidR="00667D4A" w:rsidRPr="007E4EDA" w:rsidRDefault="00483785" w:rsidP="00D669D7">
            <w:pPr>
              <w:jc w:val="center"/>
              <w:rPr>
                <w:sz w:val="22"/>
                <w:szCs w:val="22"/>
                <w:lang w:val="en-GB"/>
              </w:rPr>
            </w:pPr>
            <w:r>
              <w:rPr>
                <w:sz w:val="22"/>
                <w:szCs w:val="22"/>
                <w:lang w:val="en-GB"/>
              </w:rPr>
              <w:t>27.92</w:t>
            </w:r>
          </w:p>
        </w:tc>
        <w:tc>
          <w:tcPr>
            <w:tcW w:w="1418" w:type="dxa"/>
            <w:tcBorders>
              <w:top w:val="single" w:sz="4" w:space="0" w:color="auto"/>
            </w:tcBorders>
          </w:tcPr>
          <w:p w14:paraId="2268FF79" w14:textId="2A596F71" w:rsidR="00667D4A" w:rsidRPr="007E4EDA" w:rsidRDefault="00667D4A" w:rsidP="00D669D7">
            <w:pPr>
              <w:jc w:val="center"/>
              <w:rPr>
                <w:sz w:val="22"/>
                <w:szCs w:val="22"/>
                <w:lang w:val="en-GB"/>
              </w:rPr>
            </w:pPr>
            <w:r>
              <w:rPr>
                <w:sz w:val="22"/>
                <w:szCs w:val="22"/>
                <w:lang w:val="en-GB"/>
              </w:rPr>
              <w:t>0.19</w:t>
            </w:r>
          </w:p>
        </w:tc>
        <w:tc>
          <w:tcPr>
            <w:tcW w:w="1417" w:type="dxa"/>
            <w:tcBorders>
              <w:top w:val="single" w:sz="4" w:space="0" w:color="auto"/>
            </w:tcBorders>
          </w:tcPr>
          <w:p w14:paraId="311D7849" w14:textId="0DA464A6" w:rsidR="00667D4A" w:rsidRPr="007E4EDA" w:rsidRDefault="005F23F3" w:rsidP="00D669D7">
            <w:pPr>
              <w:jc w:val="center"/>
              <w:rPr>
                <w:sz w:val="22"/>
                <w:szCs w:val="22"/>
                <w:lang w:val="en-GB"/>
              </w:rPr>
            </w:pPr>
            <w:r>
              <w:rPr>
                <w:sz w:val="22"/>
                <w:szCs w:val="22"/>
                <w:lang w:val="en-GB"/>
              </w:rPr>
              <w:t>21.83</w:t>
            </w:r>
          </w:p>
        </w:tc>
      </w:tr>
      <w:tr w:rsidR="00667D4A" w:rsidRPr="007E4EDA" w14:paraId="61E5F5BD" w14:textId="77777777" w:rsidTr="00D669D7">
        <w:trPr>
          <w:jc w:val="center"/>
        </w:trPr>
        <w:tc>
          <w:tcPr>
            <w:tcW w:w="2410" w:type="dxa"/>
          </w:tcPr>
          <w:p w14:paraId="51263B3E" w14:textId="77777777" w:rsidR="00667D4A" w:rsidRPr="007E4EDA" w:rsidRDefault="00667D4A" w:rsidP="00D669D7">
            <w:pPr>
              <w:rPr>
                <w:sz w:val="22"/>
                <w:szCs w:val="22"/>
                <w:lang w:val="en-GB"/>
              </w:rPr>
            </w:pPr>
            <w:r>
              <w:rPr>
                <w:sz w:val="22"/>
                <w:szCs w:val="22"/>
                <w:lang w:val="en-GB"/>
              </w:rPr>
              <w:t>Sea water</w:t>
            </w:r>
          </w:p>
        </w:tc>
        <w:tc>
          <w:tcPr>
            <w:tcW w:w="1559" w:type="dxa"/>
          </w:tcPr>
          <w:p w14:paraId="42BBAD5D" w14:textId="441512F9" w:rsidR="00667D4A" w:rsidRPr="007E4EDA" w:rsidRDefault="00667D4A" w:rsidP="00D669D7">
            <w:pPr>
              <w:jc w:val="center"/>
              <w:rPr>
                <w:sz w:val="22"/>
                <w:szCs w:val="22"/>
                <w:lang w:val="en-GB"/>
              </w:rPr>
            </w:pPr>
            <w:r>
              <w:rPr>
                <w:sz w:val="22"/>
                <w:szCs w:val="22"/>
                <w:lang w:val="en-GB"/>
              </w:rPr>
              <w:t>0.14</w:t>
            </w:r>
          </w:p>
        </w:tc>
        <w:tc>
          <w:tcPr>
            <w:tcW w:w="1276" w:type="dxa"/>
          </w:tcPr>
          <w:p w14:paraId="34F69B95" w14:textId="3CD44675" w:rsidR="00667D4A" w:rsidRPr="007E4EDA" w:rsidRDefault="00483785" w:rsidP="00D669D7">
            <w:pPr>
              <w:jc w:val="center"/>
              <w:rPr>
                <w:sz w:val="22"/>
                <w:szCs w:val="22"/>
                <w:lang w:val="en-GB"/>
              </w:rPr>
            </w:pPr>
            <w:r>
              <w:rPr>
                <w:sz w:val="22"/>
                <w:szCs w:val="22"/>
                <w:lang w:val="en-GB"/>
              </w:rPr>
              <w:t>28.12</w:t>
            </w:r>
          </w:p>
        </w:tc>
        <w:tc>
          <w:tcPr>
            <w:tcW w:w="1418" w:type="dxa"/>
          </w:tcPr>
          <w:p w14:paraId="73BB71F3" w14:textId="7785BAE3" w:rsidR="00667D4A" w:rsidRPr="007E4EDA" w:rsidRDefault="00667D4A" w:rsidP="00D669D7">
            <w:pPr>
              <w:jc w:val="center"/>
              <w:rPr>
                <w:sz w:val="22"/>
                <w:szCs w:val="22"/>
                <w:lang w:val="en-GB"/>
              </w:rPr>
            </w:pPr>
            <w:r>
              <w:rPr>
                <w:sz w:val="22"/>
                <w:szCs w:val="22"/>
                <w:lang w:val="en-GB"/>
              </w:rPr>
              <w:t>0.09</w:t>
            </w:r>
          </w:p>
        </w:tc>
        <w:tc>
          <w:tcPr>
            <w:tcW w:w="1417" w:type="dxa"/>
          </w:tcPr>
          <w:p w14:paraId="790F7AC6" w14:textId="29F1E9B2" w:rsidR="00667D4A" w:rsidRPr="007E4EDA" w:rsidRDefault="005F23F3" w:rsidP="00D669D7">
            <w:pPr>
              <w:jc w:val="center"/>
              <w:rPr>
                <w:sz w:val="22"/>
                <w:szCs w:val="22"/>
                <w:lang w:val="en-GB"/>
              </w:rPr>
            </w:pPr>
            <w:r>
              <w:rPr>
                <w:sz w:val="22"/>
                <w:szCs w:val="22"/>
                <w:lang w:val="en-GB"/>
              </w:rPr>
              <w:t>36.20</w:t>
            </w:r>
          </w:p>
        </w:tc>
      </w:tr>
      <w:tr w:rsidR="00667D4A" w:rsidRPr="007E4EDA" w14:paraId="28C0AB2D" w14:textId="77777777" w:rsidTr="00D669D7">
        <w:trPr>
          <w:jc w:val="center"/>
        </w:trPr>
        <w:tc>
          <w:tcPr>
            <w:tcW w:w="2410" w:type="dxa"/>
          </w:tcPr>
          <w:p w14:paraId="4E113E95" w14:textId="77777777" w:rsidR="00667D4A" w:rsidRPr="007E4EDA" w:rsidRDefault="00667D4A" w:rsidP="00D669D7">
            <w:pPr>
              <w:rPr>
                <w:sz w:val="22"/>
                <w:szCs w:val="22"/>
                <w:lang w:val="en-GB"/>
              </w:rPr>
            </w:pPr>
            <w:r>
              <w:rPr>
                <w:sz w:val="22"/>
                <w:szCs w:val="22"/>
                <w:lang w:val="en-GB"/>
              </w:rPr>
              <w:t>Reclaimed water</w:t>
            </w:r>
          </w:p>
        </w:tc>
        <w:tc>
          <w:tcPr>
            <w:tcW w:w="1559" w:type="dxa"/>
          </w:tcPr>
          <w:p w14:paraId="069ABBB0" w14:textId="75F34F9C" w:rsidR="00667D4A" w:rsidRPr="007E4EDA" w:rsidRDefault="00667D4A" w:rsidP="00D669D7">
            <w:pPr>
              <w:jc w:val="center"/>
              <w:rPr>
                <w:sz w:val="22"/>
                <w:szCs w:val="22"/>
                <w:lang w:val="en-GB"/>
              </w:rPr>
            </w:pPr>
            <w:r>
              <w:rPr>
                <w:sz w:val="22"/>
                <w:szCs w:val="22"/>
                <w:lang w:val="en-GB"/>
              </w:rPr>
              <w:t>0.08</w:t>
            </w:r>
          </w:p>
        </w:tc>
        <w:tc>
          <w:tcPr>
            <w:tcW w:w="1276" w:type="dxa"/>
          </w:tcPr>
          <w:p w14:paraId="791F1571" w14:textId="3526C79B" w:rsidR="00667D4A" w:rsidRPr="007E4EDA" w:rsidRDefault="00483785" w:rsidP="00D669D7">
            <w:pPr>
              <w:jc w:val="center"/>
              <w:rPr>
                <w:sz w:val="22"/>
                <w:szCs w:val="22"/>
                <w:lang w:val="en-GB"/>
              </w:rPr>
            </w:pPr>
            <w:r>
              <w:rPr>
                <w:sz w:val="22"/>
                <w:szCs w:val="22"/>
                <w:lang w:val="en-GB"/>
              </w:rPr>
              <w:t>17.97</w:t>
            </w:r>
          </w:p>
        </w:tc>
        <w:tc>
          <w:tcPr>
            <w:tcW w:w="1418" w:type="dxa"/>
          </w:tcPr>
          <w:p w14:paraId="38868D55" w14:textId="2A7230A0" w:rsidR="00667D4A" w:rsidRPr="007E4EDA" w:rsidRDefault="00667D4A" w:rsidP="00D669D7">
            <w:pPr>
              <w:jc w:val="center"/>
              <w:rPr>
                <w:sz w:val="22"/>
                <w:szCs w:val="22"/>
                <w:lang w:val="en-GB"/>
              </w:rPr>
            </w:pPr>
            <w:r>
              <w:rPr>
                <w:sz w:val="22"/>
                <w:szCs w:val="22"/>
                <w:lang w:val="en-GB"/>
              </w:rPr>
              <w:t>0.06</w:t>
            </w:r>
          </w:p>
        </w:tc>
        <w:tc>
          <w:tcPr>
            <w:tcW w:w="1417" w:type="dxa"/>
          </w:tcPr>
          <w:p w14:paraId="1CE8C455" w14:textId="25D3D9E1" w:rsidR="00667D4A" w:rsidRPr="007E4EDA" w:rsidRDefault="005F23F3" w:rsidP="00D669D7">
            <w:pPr>
              <w:jc w:val="center"/>
              <w:rPr>
                <w:sz w:val="22"/>
                <w:szCs w:val="22"/>
                <w:lang w:val="en-GB"/>
              </w:rPr>
            </w:pPr>
            <w:r>
              <w:rPr>
                <w:sz w:val="22"/>
                <w:szCs w:val="22"/>
                <w:lang w:val="en-GB"/>
              </w:rPr>
              <w:t>14.28</w:t>
            </w:r>
          </w:p>
        </w:tc>
      </w:tr>
      <w:tr w:rsidR="00667D4A" w:rsidRPr="007E4EDA" w14:paraId="12454FA0" w14:textId="77777777" w:rsidTr="00D669D7">
        <w:trPr>
          <w:jc w:val="center"/>
        </w:trPr>
        <w:tc>
          <w:tcPr>
            <w:tcW w:w="2410" w:type="dxa"/>
          </w:tcPr>
          <w:p w14:paraId="02739CF7" w14:textId="77777777" w:rsidR="00667D4A" w:rsidRPr="007E4EDA" w:rsidRDefault="00667D4A" w:rsidP="00D669D7">
            <w:pPr>
              <w:rPr>
                <w:sz w:val="22"/>
                <w:szCs w:val="22"/>
                <w:lang w:val="en-GB"/>
              </w:rPr>
            </w:pPr>
            <w:r>
              <w:rPr>
                <w:sz w:val="22"/>
                <w:szCs w:val="22"/>
                <w:lang w:val="en-GB"/>
              </w:rPr>
              <w:t>Surface water</w:t>
            </w:r>
          </w:p>
        </w:tc>
        <w:tc>
          <w:tcPr>
            <w:tcW w:w="1559" w:type="dxa"/>
          </w:tcPr>
          <w:p w14:paraId="28596B60" w14:textId="4CC97864" w:rsidR="00667D4A" w:rsidRPr="007E4EDA" w:rsidRDefault="00667D4A" w:rsidP="00D669D7">
            <w:pPr>
              <w:jc w:val="center"/>
              <w:rPr>
                <w:sz w:val="22"/>
                <w:szCs w:val="22"/>
                <w:lang w:val="en-GB"/>
              </w:rPr>
            </w:pPr>
            <w:r>
              <w:rPr>
                <w:sz w:val="22"/>
                <w:szCs w:val="22"/>
                <w:lang w:val="en-GB"/>
              </w:rPr>
              <w:t>0.06</w:t>
            </w:r>
          </w:p>
        </w:tc>
        <w:tc>
          <w:tcPr>
            <w:tcW w:w="1276" w:type="dxa"/>
          </w:tcPr>
          <w:p w14:paraId="09790BD6" w14:textId="60F3C8ED" w:rsidR="00667D4A" w:rsidRPr="007E4EDA" w:rsidRDefault="00483785" w:rsidP="00D669D7">
            <w:pPr>
              <w:jc w:val="center"/>
              <w:rPr>
                <w:sz w:val="22"/>
                <w:szCs w:val="22"/>
                <w:lang w:val="en-GB"/>
              </w:rPr>
            </w:pPr>
            <w:r>
              <w:rPr>
                <w:sz w:val="22"/>
                <w:szCs w:val="22"/>
                <w:lang w:val="en-GB"/>
              </w:rPr>
              <w:t>12.98</w:t>
            </w:r>
          </w:p>
        </w:tc>
        <w:tc>
          <w:tcPr>
            <w:tcW w:w="1418" w:type="dxa"/>
          </w:tcPr>
          <w:p w14:paraId="03C7BF94" w14:textId="21BFE9EE" w:rsidR="00667D4A" w:rsidRPr="007E4EDA" w:rsidRDefault="005F23F3" w:rsidP="00D669D7">
            <w:pPr>
              <w:jc w:val="center"/>
              <w:rPr>
                <w:sz w:val="22"/>
                <w:szCs w:val="22"/>
                <w:lang w:val="en-GB"/>
              </w:rPr>
            </w:pPr>
            <w:r>
              <w:rPr>
                <w:sz w:val="22"/>
                <w:szCs w:val="22"/>
                <w:lang w:val="en-GB"/>
              </w:rPr>
              <w:t>0.15</w:t>
            </w:r>
          </w:p>
        </w:tc>
        <w:tc>
          <w:tcPr>
            <w:tcW w:w="1417" w:type="dxa"/>
          </w:tcPr>
          <w:p w14:paraId="210D3209" w14:textId="7DF0BF37" w:rsidR="00667D4A" w:rsidRPr="007E4EDA" w:rsidRDefault="005F23F3" w:rsidP="00D669D7">
            <w:pPr>
              <w:jc w:val="center"/>
              <w:rPr>
                <w:sz w:val="22"/>
                <w:szCs w:val="22"/>
                <w:lang w:val="en-GB"/>
              </w:rPr>
            </w:pPr>
            <w:r>
              <w:rPr>
                <w:sz w:val="22"/>
                <w:szCs w:val="22"/>
                <w:lang w:val="en-GB"/>
              </w:rPr>
              <w:t>29.38</w:t>
            </w:r>
          </w:p>
        </w:tc>
      </w:tr>
      <w:tr w:rsidR="00667D4A" w:rsidRPr="007E4EDA" w14:paraId="7534C42D" w14:textId="77777777" w:rsidTr="00D669D7">
        <w:trPr>
          <w:jc w:val="center"/>
        </w:trPr>
        <w:tc>
          <w:tcPr>
            <w:tcW w:w="2410" w:type="dxa"/>
          </w:tcPr>
          <w:p w14:paraId="080C6420" w14:textId="77777777" w:rsidR="00667D4A" w:rsidRPr="007E4EDA" w:rsidRDefault="00667D4A" w:rsidP="00D669D7">
            <w:pPr>
              <w:rPr>
                <w:sz w:val="22"/>
                <w:szCs w:val="22"/>
                <w:lang w:val="en-GB"/>
              </w:rPr>
            </w:pPr>
            <w:r>
              <w:rPr>
                <w:sz w:val="22"/>
                <w:szCs w:val="22"/>
                <w:lang w:val="en-GB"/>
              </w:rPr>
              <w:t>Wastewater</w:t>
            </w:r>
          </w:p>
        </w:tc>
        <w:tc>
          <w:tcPr>
            <w:tcW w:w="1559" w:type="dxa"/>
          </w:tcPr>
          <w:p w14:paraId="5E69DF8A" w14:textId="7A53F01F" w:rsidR="00667D4A" w:rsidRPr="007E4EDA" w:rsidRDefault="00667D4A" w:rsidP="00D669D7">
            <w:pPr>
              <w:jc w:val="center"/>
              <w:rPr>
                <w:sz w:val="22"/>
                <w:szCs w:val="22"/>
                <w:lang w:val="en-GB"/>
              </w:rPr>
            </w:pPr>
            <w:r>
              <w:rPr>
                <w:sz w:val="22"/>
                <w:szCs w:val="22"/>
                <w:lang w:val="en-GB"/>
              </w:rPr>
              <w:t>0.07</w:t>
            </w:r>
          </w:p>
        </w:tc>
        <w:tc>
          <w:tcPr>
            <w:tcW w:w="1276" w:type="dxa"/>
          </w:tcPr>
          <w:p w14:paraId="1EB188A7" w14:textId="38396322" w:rsidR="00667D4A" w:rsidRPr="007E4EDA" w:rsidRDefault="00483785" w:rsidP="00D669D7">
            <w:pPr>
              <w:jc w:val="center"/>
              <w:rPr>
                <w:sz w:val="22"/>
                <w:szCs w:val="22"/>
                <w:lang w:val="en-GB"/>
              </w:rPr>
            </w:pPr>
            <w:r>
              <w:rPr>
                <w:sz w:val="22"/>
                <w:szCs w:val="22"/>
                <w:lang w:val="en-GB"/>
              </w:rPr>
              <w:t>15.14</w:t>
            </w:r>
          </w:p>
        </w:tc>
        <w:tc>
          <w:tcPr>
            <w:tcW w:w="1418" w:type="dxa"/>
          </w:tcPr>
          <w:p w14:paraId="1BD42824" w14:textId="2791304F" w:rsidR="00667D4A" w:rsidRPr="007E4EDA" w:rsidRDefault="005F23F3" w:rsidP="00D669D7">
            <w:pPr>
              <w:jc w:val="center"/>
              <w:rPr>
                <w:sz w:val="22"/>
                <w:szCs w:val="22"/>
                <w:lang w:val="en-GB"/>
              </w:rPr>
            </w:pPr>
            <w:r>
              <w:rPr>
                <w:sz w:val="22"/>
                <w:szCs w:val="22"/>
                <w:lang w:val="en-GB"/>
              </w:rPr>
              <w:t>0.15</w:t>
            </w:r>
          </w:p>
        </w:tc>
        <w:tc>
          <w:tcPr>
            <w:tcW w:w="1417" w:type="dxa"/>
          </w:tcPr>
          <w:p w14:paraId="3514ACC5" w14:textId="7A1DF4CE" w:rsidR="00667D4A" w:rsidRPr="007E4EDA" w:rsidRDefault="005F23F3" w:rsidP="00D669D7">
            <w:pPr>
              <w:jc w:val="center"/>
              <w:rPr>
                <w:sz w:val="22"/>
                <w:szCs w:val="22"/>
                <w:lang w:val="en-GB"/>
              </w:rPr>
            </w:pPr>
            <w:r>
              <w:rPr>
                <w:sz w:val="22"/>
                <w:szCs w:val="22"/>
                <w:lang w:val="en-GB"/>
              </w:rPr>
              <w:t>29.16</w:t>
            </w:r>
          </w:p>
        </w:tc>
      </w:tr>
      <w:tr w:rsidR="00483785" w:rsidRPr="007E4EDA" w14:paraId="6897DCAA" w14:textId="77777777" w:rsidTr="00B5343D">
        <w:trPr>
          <w:jc w:val="center"/>
        </w:trPr>
        <w:tc>
          <w:tcPr>
            <w:tcW w:w="2410" w:type="dxa"/>
          </w:tcPr>
          <w:p w14:paraId="7ED97B81" w14:textId="1446C165" w:rsidR="00483785" w:rsidRPr="007E4EDA" w:rsidRDefault="00483785" w:rsidP="00D669D7">
            <w:pPr>
              <w:rPr>
                <w:sz w:val="22"/>
                <w:szCs w:val="22"/>
                <w:lang w:val="en-GB"/>
              </w:rPr>
            </w:pPr>
            <w:r>
              <w:rPr>
                <w:sz w:val="22"/>
                <w:szCs w:val="22"/>
                <w:lang w:val="en-GB"/>
              </w:rPr>
              <w:t>Reclaimed + Surface</w:t>
            </w:r>
          </w:p>
        </w:tc>
        <w:tc>
          <w:tcPr>
            <w:tcW w:w="1559" w:type="dxa"/>
          </w:tcPr>
          <w:p w14:paraId="78640A5B" w14:textId="0BA28D81" w:rsidR="00483785" w:rsidRPr="007E4EDA" w:rsidRDefault="00483785" w:rsidP="00D669D7">
            <w:pPr>
              <w:jc w:val="center"/>
              <w:rPr>
                <w:sz w:val="22"/>
                <w:szCs w:val="22"/>
                <w:lang w:val="en-GB"/>
              </w:rPr>
            </w:pPr>
            <w:r>
              <w:rPr>
                <w:sz w:val="22"/>
                <w:szCs w:val="22"/>
                <w:lang w:val="en-GB"/>
              </w:rPr>
              <w:t>0.07</w:t>
            </w:r>
          </w:p>
        </w:tc>
        <w:tc>
          <w:tcPr>
            <w:tcW w:w="1276" w:type="dxa"/>
          </w:tcPr>
          <w:p w14:paraId="30EE470F" w14:textId="257EE44B" w:rsidR="00483785" w:rsidRPr="007E4EDA" w:rsidRDefault="00483785" w:rsidP="00D669D7">
            <w:pPr>
              <w:jc w:val="center"/>
              <w:rPr>
                <w:sz w:val="22"/>
                <w:szCs w:val="22"/>
                <w:lang w:val="en-GB"/>
              </w:rPr>
            </w:pPr>
            <w:r>
              <w:rPr>
                <w:sz w:val="22"/>
                <w:szCs w:val="22"/>
                <w:lang w:val="en-GB"/>
              </w:rPr>
              <w:t>15.48</w:t>
            </w:r>
          </w:p>
        </w:tc>
        <w:tc>
          <w:tcPr>
            <w:tcW w:w="1418" w:type="dxa"/>
          </w:tcPr>
          <w:p w14:paraId="4028E9FC" w14:textId="670B8B76" w:rsidR="00483785" w:rsidRPr="007E4EDA" w:rsidRDefault="005F23F3" w:rsidP="00D669D7">
            <w:pPr>
              <w:jc w:val="center"/>
              <w:rPr>
                <w:sz w:val="22"/>
                <w:szCs w:val="22"/>
                <w:lang w:val="en-GB"/>
              </w:rPr>
            </w:pPr>
            <w:r>
              <w:rPr>
                <w:sz w:val="22"/>
                <w:szCs w:val="22"/>
                <w:lang w:val="en-GB"/>
              </w:rPr>
              <w:t>0.10</w:t>
            </w:r>
          </w:p>
        </w:tc>
        <w:tc>
          <w:tcPr>
            <w:tcW w:w="1417" w:type="dxa"/>
          </w:tcPr>
          <w:p w14:paraId="7CA532B9" w14:textId="37B3901A" w:rsidR="00483785" w:rsidRPr="007E4EDA" w:rsidRDefault="005F23F3" w:rsidP="00D669D7">
            <w:pPr>
              <w:jc w:val="center"/>
              <w:rPr>
                <w:sz w:val="22"/>
                <w:szCs w:val="22"/>
                <w:lang w:val="en-GB"/>
              </w:rPr>
            </w:pPr>
            <w:r>
              <w:rPr>
                <w:sz w:val="22"/>
                <w:szCs w:val="22"/>
                <w:lang w:val="en-GB"/>
              </w:rPr>
              <w:t>21.83</w:t>
            </w:r>
          </w:p>
        </w:tc>
      </w:tr>
      <w:tr w:rsidR="00667D4A" w:rsidRPr="007E4EDA" w14:paraId="62284585" w14:textId="77777777" w:rsidTr="00B5343D">
        <w:trPr>
          <w:jc w:val="center"/>
        </w:trPr>
        <w:tc>
          <w:tcPr>
            <w:tcW w:w="2410" w:type="dxa"/>
            <w:tcBorders>
              <w:bottom w:val="single" w:sz="4" w:space="0" w:color="auto"/>
            </w:tcBorders>
          </w:tcPr>
          <w:p w14:paraId="0456DE8C" w14:textId="77777777" w:rsidR="00667D4A" w:rsidRPr="007E4EDA" w:rsidRDefault="00667D4A" w:rsidP="00D669D7">
            <w:pPr>
              <w:rPr>
                <w:sz w:val="22"/>
                <w:szCs w:val="22"/>
                <w:lang w:val="en-GB"/>
              </w:rPr>
            </w:pPr>
            <w:r>
              <w:rPr>
                <w:sz w:val="22"/>
                <w:szCs w:val="22"/>
                <w:lang w:val="en-GB"/>
              </w:rPr>
              <w:t>All matrices</w:t>
            </w:r>
          </w:p>
        </w:tc>
        <w:tc>
          <w:tcPr>
            <w:tcW w:w="1559" w:type="dxa"/>
            <w:tcBorders>
              <w:bottom w:val="single" w:sz="4" w:space="0" w:color="auto"/>
            </w:tcBorders>
          </w:tcPr>
          <w:p w14:paraId="13A45F6D" w14:textId="281489E0" w:rsidR="00667D4A" w:rsidRPr="007E4EDA" w:rsidRDefault="00667D4A" w:rsidP="00D669D7">
            <w:pPr>
              <w:jc w:val="center"/>
              <w:rPr>
                <w:sz w:val="22"/>
                <w:szCs w:val="22"/>
                <w:lang w:val="en-GB"/>
              </w:rPr>
            </w:pPr>
            <w:r>
              <w:rPr>
                <w:sz w:val="22"/>
                <w:szCs w:val="22"/>
                <w:lang w:val="en-GB"/>
              </w:rPr>
              <w:t>0.10</w:t>
            </w:r>
          </w:p>
        </w:tc>
        <w:tc>
          <w:tcPr>
            <w:tcW w:w="1276" w:type="dxa"/>
            <w:tcBorders>
              <w:bottom w:val="single" w:sz="4" w:space="0" w:color="auto"/>
            </w:tcBorders>
          </w:tcPr>
          <w:p w14:paraId="23EDA5C7" w14:textId="0933B7A0" w:rsidR="00667D4A" w:rsidRPr="007E4EDA" w:rsidRDefault="00483785" w:rsidP="00D669D7">
            <w:pPr>
              <w:jc w:val="center"/>
              <w:rPr>
                <w:sz w:val="22"/>
                <w:szCs w:val="22"/>
                <w:lang w:val="en-GB"/>
              </w:rPr>
            </w:pPr>
            <w:r>
              <w:rPr>
                <w:sz w:val="22"/>
                <w:szCs w:val="22"/>
                <w:lang w:val="en-GB"/>
              </w:rPr>
              <w:t>21.87</w:t>
            </w:r>
          </w:p>
        </w:tc>
        <w:tc>
          <w:tcPr>
            <w:tcW w:w="1418" w:type="dxa"/>
            <w:tcBorders>
              <w:bottom w:val="single" w:sz="4" w:space="0" w:color="auto"/>
            </w:tcBorders>
          </w:tcPr>
          <w:p w14:paraId="6EFD7A36" w14:textId="53C14088" w:rsidR="00667D4A" w:rsidRPr="007E4EDA" w:rsidRDefault="00667D4A" w:rsidP="00D669D7">
            <w:pPr>
              <w:jc w:val="center"/>
              <w:rPr>
                <w:sz w:val="22"/>
                <w:szCs w:val="22"/>
                <w:lang w:val="en-GB"/>
              </w:rPr>
            </w:pPr>
            <w:r>
              <w:rPr>
                <w:sz w:val="22"/>
                <w:szCs w:val="22"/>
                <w:lang w:val="en-GB"/>
              </w:rPr>
              <w:t>0.13</w:t>
            </w:r>
          </w:p>
        </w:tc>
        <w:tc>
          <w:tcPr>
            <w:tcW w:w="1417" w:type="dxa"/>
            <w:tcBorders>
              <w:bottom w:val="single" w:sz="4" w:space="0" w:color="auto"/>
            </w:tcBorders>
          </w:tcPr>
          <w:p w14:paraId="0D466F4B" w14:textId="0819D677" w:rsidR="00667D4A" w:rsidRPr="007E4EDA" w:rsidRDefault="005F23F3" w:rsidP="00D669D7">
            <w:pPr>
              <w:jc w:val="center"/>
              <w:rPr>
                <w:sz w:val="22"/>
                <w:szCs w:val="22"/>
                <w:lang w:val="en-GB"/>
              </w:rPr>
            </w:pPr>
            <w:r>
              <w:rPr>
                <w:sz w:val="22"/>
                <w:szCs w:val="22"/>
                <w:lang w:val="en-GB"/>
              </w:rPr>
              <w:t>26.96</w:t>
            </w:r>
          </w:p>
        </w:tc>
      </w:tr>
    </w:tbl>
    <w:p w14:paraId="3DFFDEC7" w14:textId="77777777" w:rsidR="00667D4A" w:rsidRPr="007E4EDA" w:rsidRDefault="00667D4A" w:rsidP="00667D4A">
      <w:pPr>
        <w:rPr>
          <w:lang w:val="en-GB"/>
        </w:rPr>
      </w:pPr>
    </w:p>
    <w:p w14:paraId="1C123B82" w14:textId="77777777" w:rsidR="00667D4A" w:rsidRPr="007E4EDA" w:rsidRDefault="00667D4A" w:rsidP="00667D4A">
      <w:pPr>
        <w:spacing w:after="120" w:line="360" w:lineRule="auto"/>
        <w:jc w:val="both"/>
        <w:rPr>
          <w:sz w:val="24"/>
          <w:szCs w:val="24"/>
          <w:lang w:val="en-GB"/>
        </w:rPr>
      </w:pPr>
      <w:r>
        <w:rPr>
          <w:sz w:val="24"/>
          <w:szCs w:val="24"/>
          <w:lang w:val="en-GB"/>
        </w:rPr>
        <w:br w:type="page"/>
      </w:r>
    </w:p>
    <w:p w14:paraId="02819B15" w14:textId="77777777" w:rsidR="00667D4A" w:rsidRPr="007E4EDA" w:rsidRDefault="00667D4A" w:rsidP="00667D4A">
      <w:pPr>
        <w:spacing w:after="120" w:line="360" w:lineRule="auto"/>
        <w:jc w:val="both"/>
        <w:rPr>
          <w:sz w:val="24"/>
          <w:szCs w:val="24"/>
          <w:lang w:val="en-GB"/>
        </w:rPr>
      </w:pPr>
    </w:p>
    <w:p w14:paraId="41273897" w14:textId="65BADF92" w:rsidR="00667D4A" w:rsidRPr="007E4EDA" w:rsidRDefault="00667D4A" w:rsidP="00667D4A">
      <w:pPr>
        <w:spacing w:after="120" w:line="360" w:lineRule="auto"/>
        <w:jc w:val="both"/>
        <w:rPr>
          <w:sz w:val="24"/>
          <w:szCs w:val="24"/>
          <w:lang w:val="en-GB"/>
        </w:rPr>
      </w:pPr>
      <w:r>
        <w:rPr>
          <w:b/>
          <w:bCs/>
          <w:sz w:val="24"/>
          <w:szCs w:val="24"/>
          <w:lang w:val="en-GB"/>
        </w:rPr>
        <w:t>Table 4.</w:t>
      </w:r>
      <w:r>
        <w:rPr>
          <w:sz w:val="24"/>
          <w:szCs w:val="24"/>
          <w:lang w:val="en-GB"/>
        </w:rPr>
        <w:t xml:space="preserve"> Deming and Passing-Bablok parameters describing the relationship between the ENUMERA®-Coli100 method and ISO 9308-2 reference method for </w:t>
      </w:r>
      <w:r>
        <w:rPr>
          <w:i/>
          <w:iCs/>
          <w:sz w:val="24"/>
          <w:szCs w:val="24"/>
          <w:lang w:val="en-GB"/>
        </w:rPr>
        <w:t>E. coli</w:t>
      </w:r>
      <w:r>
        <w:rPr>
          <w:sz w:val="24"/>
          <w:szCs w:val="24"/>
          <w:lang w:val="en-GB"/>
        </w:rPr>
        <w:t xml:space="preserve"> and total coliforms in each water matrix and for all matrices combined. The table shows slope, intercept and their 95% confidence intervals.</w:t>
      </w:r>
    </w:p>
    <w:tbl>
      <w:tblPr>
        <w:tblW w:w="13480" w:type="dxa"/>
        <w:jc w:val="center"/>
        <w:tblCellMar>
          <w:left w:w="70" w:type="dxa"/>
          <w:right w:w="70" w:type="dxa"/>
        </w:tblCellMar>
        <w:tblLook w:val="04A0" w:firstRow="1" w:lastRow="0" w:firstColumn="1" w:lastColumn="0" w:noHBand="0" w:noVBand="1"/>
      </w:tblPr>
      <w:tblGrid>
        <w:gridCol w:w="1400"/>
        <w:gridCol w:w="2080"/>
        <w:gridCol w:w="2500"/>
        <w:gridCol w:w="2500"/>
        <w:gridCol w:w="2500"/>
        <w:gridCol w:w="2500"/>
      </w:tblGrid>
      <w:tr w:rsidR="007B16A6" w:rsidRPr="00F025B4" w14:paraId="4A3FEA11" w14:textId="77777777" w:rsidTr="0024441A">
        <w:trPr>
          <w:trHeight w:val="330"/>
          <w:tblHeader/>
          <w:jc w:val="center"/>
        </w:trPr>
        <w:tc>
          <w:tcPr>
            <w:tcW w:w="1400" w:type="dxa"/>
            <w:tcBorders>
              <w:top w:val="single" w:sz="4" w:space="0" w:color="auto"/>
              <w:bottom w:val="single" w:sz="4" w:space="0" w:color="auto"/>
            </w:tcBorders>
            <w:noWrap/>
            <w:vAlign w:val="center"/>
            <w:hideMark/>
          </w:tcPr>
          <w:p w14:paraId="1E984206" w14:textId="77777777" w:rsidR="007B16A6" w:rsidRPr="00F025B4" w:rsidRDefault="007B16A6" w:rsidP="0024441A">
            <w:pPr>
              <w:jc w:val="center"/>
              <w:rPr>
                <w:color w:val="000000"/>
                <w:sz w:val="22"/>
                <w:szCs w:val="22"/>
                <w:lang w:val="en-GB" w:eastAsia="es-ES"/>
              </w:rPr>
            </w:pPr>
            <w:r>
              <w:rPr>
                <w:color w:val="000000"/>
                <w:sz w:val="22"/>
                <w:szCs w:val="22"/>
                <w:lang w:val="en-GB" w:eastAsia="es-ES"/>
              </w:rPr>
              <w:t> </w:t>
            </w:r>
          </w:p>
        </w:tc>
        <w:tc>
          <w:tcPr>
            <w:tcW w:w="2080" w:type="dxa"/>
            <w:tcBorders>
              <w:top w:val="single" w:sz="4" w:space="0" w:color="auto"/>
              <w:bottom w:val="single" w:sz="4" w:space="0" w:color="auto"/>
            </w:tcBorders>
            <w:noWrap/>
            <w:vAlign w:val="center"/>
            <w:hideMark/>
          </w:tcPr>
          <w:p w14:paraId="52299E12" w14:textId="77777777" w:rsidR="007B16A6" w:rsidRPr="00F025B4" w:rsidRDefault="007B16A6" w:rsidP="0024441A">
            <w:pPr>
              <w:jc w:val="center"/>
              <w:rPr>
                <w:color w:val="000000"/>
                <w:sz w:val="22"/>
                <w:szCs w:val="22"/>
                <w:lang w:val="en-GB" w:eastAsia="es-ES"/>
              </w:rPr>
            </w:pPr>
            <w:r>
              <w:rPr>
                <w:color w:val="000000"/>
                <w:sz w:val="22"/>
                <w:szCs w:val="22"/>
                <w:lang w:val="en-GB" w:eastAsia="es-ES"/>
              </w:rPr>
              <w:t> </w:t>
            </w:r>
          </w:p>
        </w:tc>
        <w:tc>
          <w:tcPr>
            <w:tcW w:w="5000" w:type="dxa"/>
            <w:gridSpan w:val="2"/>
            <w:tcBorders>
              <w:top w:val="single" w:sz="4" w:space="0" w:color="auto"/>
              <w:bottom w:val="single" w:sz="4" w:space="0" w:color="auto"/>
            </w:tcBorders>
            <w:vAlign w:val="center"/>
            <w:hideMark/>
          </w:tcPr>
          <w:p w14:paraId="21A1F3BB" w14:textId="77777777" w:rsidR="007B16A6" w:rsidRPr="00F025B4" w:rsidRDefault="007B16A6" w:rsidP="0024441A">
            <w:pPr>
              <w:jc w:val="center"/>
              <w:rPr>
                <w:b/>
                <w:bCs/>
                <w:i/>
                <w:iCs/>
                <w:color w:val="000000"/>
                <w:sz w:val="22"/>
                <w:szCs w:val="22"/>
                <w:lang w:val="en-GB" w:eastAsia="es-ES"/>
              </w:rPr>
            </w:pPr>
            <w:r>
              <w:rPr>
                <w:b/>
                <w:bCs/>
                <w:i/>
                <w:iCs/>
                <w:color w:val="000000"/>
                <w:sz w:val="22"/>
                <w:szCs w:val="22"/>
                <w:lang w:val="en-GB" w:eastAsia="es-ES"/>
              </w:rPr>
              <w:t>E. coli</w:t>
            </w:r>
          </w:p>
        </w:tc>
        <w:tc>
          <w:tcPr>
            <w:tcW w:w="5000" w:type="dxa"/>
            <w:gridSpan w:val="2"/>
            <w:tcBorders>
              <w:top w:val="single" w:sz="4" w:space="0" w:color="auto"/>
              <w:bottom w:val="single" w:sz="4" w:space="0" w:color="auto"/>
            </w:tcBorders>
            <w:vAlign w:val="center"/>
            <w:hideMark/>
          </w:tcPr>
          <w:p w14:paraId="5D100295" w14:textId="77777777" w:rsidR="007B16A6" w:rsidRPr="00F025B4" w:rsidRDefault="007B16A6" w:rsidP="0024441A">
            <w:pPr>
              <w:jc w:val="center"/>
              <w:rPr>
                <w:b/>
                <w:bCs/>
                <w:color w:val="000000"/>
                <w:sz w:val="22"/>
                <w:szCs w:val="22"/>
                <w:lang w:val="en-GB" w:eastAsia="es-ES"/>
              </w:rPr>
            </w:pPr>
            <w:r>
              <w:rPr>
                <w:b/>
                <w:bCs/>
                <w:color w:val="000000"/>
                <w:sz w:val="22"/>
                <w:szCs w:val="22"/>
                <w:lang w:val="en-GB" w:eastAsia="es-ES"/>
              </w:rPr>
              <w:t>Total coliforms</w:t>
            </w:r>
          </w:p>
        </w:tc>
      </w:tr>
      <w:tr w:rsidR="007B16A6" w:rsidRPr="00F025B4" w14:paraId="137AA699" w14:textId="77777777" w:rsidTr="0024441A">
        <w:trPr>
          <w:trHeight w:val="330"/>
          <w:tblHeader/>
          <w:jc w:val="center"/>
        </w:trPr>
        <w:tc>
          <w:tcPr>
            <w:tcW w:w="1400" w:type="dxa"/>
            <w:tcBorders>
              <w:top w:val="single" w:sz="4" w:space="0" w:color="auto"/>
              <w:bottom w:val="single" w:sz="4" w:space="0" w:color="auto"/>
            </w:tcBorders>
            <w:vAlign w:val="center"/>
            <w:hideMark/>
          </w:tcPr>
          <w:p w14:paraId="11036326" w14:textId="77777777" w:rsidR="007B16A6" w:rsidRPr="00F025B4" w:rsidRDefault="007B16A6" w:rsidP="0024441A">
            <w:pPr>
              <w:spacing w:line="300" w:lineRule="atLeast"/>
              <w:jc w:val="center"/>
              <w:rPr>
                <w:b/>
                <w:bCs/>
                <w:color w:val="000000"/>
                <w:sz w:val="22"/>
                <w:szCs w:val="22"/>
                <w:lang w:val="en-GB" w:eastAsia="es-ES"/>
              </w:rPr>
            </w:pPr>
            <w:r>
              <w:rPr>
                <w:b/>
                <w:bCs/>
                <w:color w:val="000000"/>
                <w:sz w:val="22"/>
                <w:szCs w:val="22"/>
                <w:lang w:val="en-GB" w:eastAsia="es-ES"/>
              </w:rPr>
              <w:t>Matrix</w:t>
            </w:r>
          </w:p>
        </w:tc>
        <w:tc>
          <w:tcPr>
            <w:tcW w:w="2080" w:type="dxa"/>
            <w:tcBorders>
              <w:top w:val="single" w:sz="4" w:space="0" w:color="auto"/>
              <w:bottom w:val="single" w:sz="4" w:space="0" w:color="auto"/>
            </w:tcBorders>
            <w:vAlign w:val="center"/>
            <w:hideMark/>
          </w:tcPr>
          <w:p w14:paraId="49FF5B88" w14:textId="77777777" w:rsidR="007B16A6" w:rsidRPr="00F025B4" w:rsidRDefault="007B16A6" w:rsidP="0024441A">
            <w:pPr>
              <w:jc w:val="center"/>
              <w:rPr>
                <w:b/>
                <w:bCs/>
                <w:color w:val="000000"/>
                <w:sz w:val="22"/>
                <w:szCs w:val="22"/>
                <w:lang w:val="en-GB" w:eastAsia="es-ES"/>
              </w:rPr>
            </w:pPr>
            <w:r>
              <w:rPr>
                <w:b/>
                <w:bCs/>
                <w:color w:val="000000"/>
                <w:sz w:val="22"/>
                <w:szCs w:val="22"/>
                <w:lang w:val="en-GB" w:eastAsia="es-ES"/>
              </w:rPr>
              <w:t>Method</w:t>
            </w:r>
          </w:p>
        </w:tc>
        <w:tc>
          <w:tcPr>
            <w:tcW w:w="2500" w:type="dxa"/>
            <w:tcBorders>
              <w:top w:val="single" w:sz="4" w:space="0" w:color="auto"/>
              <w:bottom w:val="single" w:sz="4" w:space="0" w:color="auto"/>
            </w:tcBorders>
            <w:vAlign w:val="center"/>
            <w:hideMark/>
          </w:tcPr>
          <w:p w14:paraId="6467491F" w14:textId="77777777" w:rsidR="007B16A6" w:rsidRPr="00F025B4" w:rsidRDefault="007B16A6" w:rsidP="0024441A">
            <w:pPr>
              <w:jc w:val="center"/>
              <w:rPr>
                <w:b/>
                <w:bCs/>
                <w:color w:val="000000"/>
                <w:sz w:val="22"/>
                <w:szCs w:val="22"/>
                <w:lang w:val="en-GB" w:eastAsia="es-ES"/>
              </w:rPr>
            </w:pPr>
            <w:r>
              <w:rPr>
                <w:b/>
                <w:bCs/>
                <w:color w:val="000000"/>
                <w:sz w:val="22"/>
                <w:szCs w:val="22"/>
                <w:lang w:val="en-GB" w:eastAsia="es-ES"/>
              </w:rPr>
              <w:t>Intercept (95% CI)</w:t>
            </w:r>
          </w:p>
        </w:tc>
        <w:tc>
          <w:tcPr>
            <w:tcW w:w="2500" w:type="dxa"/>
            <w:tcBorders>
              <w:top w:val="single" w:sz="4" w:space="0" w:color="auto"/>
              <w:bottom w:val="single" w:sz="4" w:space="0" w:color="auto"/>
            </w:tcBorders>
            <w:vAlign w:val="center"/>
            <w:hideMark/>
          </w:tcPr>
          <w:p w14:paraId="696D067F" w14:textId="77777777" w:rsidR="007B16A6" w:rsidRPr="00F025B4" w:rsidRDefault="007B16A6" w:rsidP="0024441A">
            <w:pPr>
              <w:jc w:val="center"/>
              <w:rPr>
                <w:b/>
                <w:bCs/>
                <w:color w:val="000000"/>
                <w:sz w:val="22"/>
                <w:szCs w:val="22"/>
                <w:lang w:val="en-GB" w:eastAsia="es-ES"/>
              </w:rPr>
            </w:pPr>
            <w:r>
              <w:rPr>
                <w:b/>
                <w:bCs/>
                <w:color w:val="000000"/>
                <w:sz w:val="22"/>
                <w:szCs w:val="22"/>
                <w:lang w:val="en-GB" w:eastAsia="es-ES"/>
              </w:rPr>
              <w:t>Slope (95% CI)</w:t>
            </w:r>
          </w:p>
        </w:tc>
        <w:tc>
          <w:tcPr>
            <w:tcW w:w="2500" w:type="dxa"/>
            <w:tcBorders>
              <w:top w:val="single" w:sz="4" w:space="0" w:color="auto"/>
              <w:bottom w:val="single" w:sz="4" w:space="0" w:color="auto"/>
            </w:tcBorders>
            <w:vAlign w:val="center"/>
            <w:hideMark/>
          </w:tcPr>
          <w:p w14:paraId="169F26FB" w14:textId="77777777" w:rsidR="007B16A6" w:rsidRPr="00F025B4" w:rsidRDefault="007B16A6" w:rsidP="0024441A">
            <w:pPr>
              <w:jc w:val="center"/>
              <w:rPr>
                <w:b/>
                <w:bCs/>
                <w:color w:val="000000"/>
                <w:sz w:val="22"/>
                <w:szCs w:val="22"/>
                <w:lang w:val="en-GB" w:eastAsia="es-ES"/>
              </w:rPr>
            </w:pPr>
            <w:r>
              <w:rPr>
                <w:b/>
                <w:bCs/>
                <w:color w:val="000000"/>
                <w:sz w:val="22"/>
                <w:szCs w:val="22"/>
                <w:lang w:val="en-GB" w:eastAsia="es-ES"/>
              </w:rPr>
              <w:t>Intercept (95% CI)</w:t>
            </w:r>
          </w:p>
        </w:tc>
        <w:tc>
          <w:tcPr>
            <w:tcW w:w="2500" w:type="dxa"/>
            <w:tcBorders>
              <w:top w:val="single" w:sz="4" w:space="0" w:color="auto"/>
              <w:bottom w:val="single" w:sz="4" w:space="0" w:color="auto"/>
            </w:tcBorders>
            <w:vAlign w:val="center"/>
            <w:hideMark/>
          </w:tcPr>
          <w:p w14:paraId="72A733C9" w14:textId="77777777" w:rsidR="007B16A6" w:rsidRPr="00F025B4" w:rsidRDefault="007B16A6" w:rsidP="0024441A">
            <w:pPr>
              <w:jc w:val="center"/>
              <w:rPr>
                <w:b/>
                <w:bCs/>
                <w:color w:val="000000"/>
                <w:sz w:val="22"/>
                <w:szCs w:val="22"/>
                <w:lang w:val="en-GB" w:eastAsia="es-ES"/>
              </w:rPr>
            </w:pPr>
            <w:r>
              <w:rPr>
                <w:b/>
                <w:bCs/>
                <w:color w:val="000000"/>
                <w:sz w:val="22"/>
                <w:szCs w:val="22"/>
                <w:lang w:val="en-GB" w:eastAsia="es-ES"/>
              </w:rPr>
              <w:t>Slope (95% CI)</w:t>
            </w:r>
          </w:p>
        </w:tc>
      </w:tr>
      <w:tr w:rsidR="007B16A6" w:rsidRPr="00F025B4" w14:paraId="046617E7" w14:textId="77777777" w:rsidTr="0024441A">
        <w:trPr>
          <w:trHeight w:val="375"/>
          <w:jc w:val="center"/>
        </w:trPr>
        <w:tc>
          <w:tcPr>
            <w:tcW w:w="1400" w:type="dxa"/>
            <w:vMerge w:val="restart"/>
            <w:tcBorders>
              <w:top w:val="single" w:sz="4" w:space="0" w:color="auto"/>
            </w:tcBorders>
            <w:vAlign w:val="center"/>
            <w:hideMark/>
          </w:tcPr>
          <w:p w14:paraId="635609BB" w14:textId="77777777" w:rsidR="007B16A6" w:rsidRPr="00F025B4" w:rsidRDefault="007B16A6" w:rsidP="0024441A">
            <w:pPr>
              <w:jc w:val="center"/>
              <w:rPr>
                <w:color w:val="000000"/>
                <w:sz w:val="22"/>
                <w:szCs w:val="22"/>
                <w:lang w:val="en-GB" w:eastAsia="es-ES"/>
              </w:rPr>
            </w:pPr>
            <w:r>
              <w:rPr>
                <w:color w:val="000000"/>
                <w:sz w:val="22"/>
                <w:szCs w:val="22"/>
                <w:lang w:val="en-GB" w:eastAsia="es-ES"/>
              </w:rPr>
              <w:t>DW</w:t>
            </w:r>
          </w:p>
        </w:tc>
        <w:tc>
          <w:tcPr>
            <w:tcW w:w="2080" w:type="dxa"/>
            <w:tcBorders>
              <w:top w:val="single" w:sz="4" w:space="0" w:color="auto"/>
            </w:tcBorders>
            <w:vAlign w:val="center"/>
            <w:hideMark/>
          </w:tcPr>
          <w:p w14:paraId="76C03614" w14:textId="77777777" w:rsidR="007B16A6" w:rsidRPr="00F025B4" w:rsidRDefault="007B16A6" w:rsidP="0024441A">
            <w:pPr>
              <w:jc w:val="center"/>
              <w:rPr>
                <w:color w:val="000000"/>
                <w:sz w:val="22"/>
                <w:szCs w:val="22"/>
                <w:lang w:val="en-GB" w:eastAsia="es-ES"/>
              </w:rPr>
            </w:pPr>
            <w:r>
              <w:rPr>
                <w:color w:val="000000"/>
                <w:sz w:val="22"/>
                <w:szCs w:val="22"/>
                <w:lang w:val="en-GB" w:eastAsia="es-ES"/>
              </w:rPr>
              <w:t>Deming</w:t>
            </w:r>
          </w:p>
        </w:tc>
        <w:tc>
          <w:tcPr>
            <w:tcW w:w="2500" w:type="dxa"/>
            <w:tcBorders>
              <w:top w:val="single" w:sz="4" w:space="0" w:color="auto"/>
            </w:tcBorders>
            <w:vAlign w:val="center"/>
            <w:hideMark/>
          </w:tcPr>
          <w:p w14:paraId="46E793BA" w14:textId="6F16A990" w:rsidR="007B16A6" w:rsidRPr="00F025B4" w:rsidRDefault="007B16A6" w:rsidP="0024441A">
            <w:pPr>
              <w:jc w:val="center"/>
              <w:rPr>
                <w:color w:val="000000"/>
                <w:sz w:val="22"/>
                <w:szCs w:val="22"/>
                <w:lang w:val="en-GB" w:eastAsia="es-ES"/>
              </w:rPr>
            </w:pPr>
            <w:r>
              <w:rPr>
                <w:color w:val="000000"/>
                <w:sz w:val="22"/>
                <w:szCs w:val="22"/>
                <w:lang w:val="en-GB" w:eastAsia="es-ES"/>
              </w:rPr>
              <w:t>-0.123 (-0.424, 0.085)</w:t>
            </w:r>
          </w:p>
        </w:tc>
        <w:tc>
          <w:tcPr>
            <w:tcW w:w="2500" w:type="dxa"/>
            <w:tcBorders>
              <w:top w:val="single" w:sz="4" w:space="0" w:color="auto"/>
            </w:tcBorders>
            <w:vAlign w:val="center"/>
            <w:hideMark/>
          </w:tcPr>
          <w:p w14:paraId="3D1B2727" w14:textId="30817BB5" w:rsidR="007B16A6" w:rsidRPr="00F025B4" w:rsidRDefault="007B16A6" w:rsidP="0024441A">
            <w:pPr>
              <w:jc w:val="center"/>
              <w:rPr>
                <w:color w:val="000000"/>
                <w:sz w:val="22"/>
                <w:szCs w:val="22"/>
                <w:lang w:val="en-GB" w:eastAsia="es-ES"/>
              </w:rPr>
            </w:pPr>
            <w:r>
              <w:rPr>
                <w:color w:val="000000"/>
                <w:sz w:val="22"/>
                <w:szCs w:val="22"/>
                <w:lang w:val="en-GB" w:eastAsia="es-ES"/>
              </w:rPr>
              <w:t>1.016 (0.900, 1.153)</w:t>
            </w:r>
          </w:p>
        </w:tc>
        <w:tc>
          <w:tcPr>
            <w:tcW w:w="2500" w:type="dxa"/>
            <w:tcBorders>
              <w:top w:val="single" w:sz="4" w:space="0" w:color="auto"/>
            </w:tcBorders>
            <w:vAlign w:val="center"/>
            <w:hideMark/>
          </w:tcPr>
          <w:p w14:paraId="55B9E22D" w14:textId="46D7A08A" w:rsidR="007B16A6" w:rsidRPr="00F025B4" w:rsidRDefault="007B16A6" w:rsidP="0024441A">
            <w:pPr>
              <w:jc w:val="center"/>
              <w:rPr>
                <w:color w:val="000000"/>
                <w:sz w:val="22"/>
                <w:szCs w:val="22"/>
                <w:lang w:val="en-GB" w:eastAsia="es-ES"/>
              </w:rPr>
            </w:pPr>
            <w:r>
              <w:rPr>
                <w:color w:val="000000"/>
                <w:sz w:val="22"/>
                <w:szCs w:val="22"/>
                <w:lang w:val="en-GB" w:eastAsia="es-ES"/>
              </w:rPr>
              <w:t>-0.123 (-0.413, -0.091)</w:t>
            </w:r>
          </w:p>
        </w:tc>
        <w:tc>
          <w:tcPr>
            <w:tcW w:w="2500" w:type="dxa"/>
            <w:tcBorders>
              <w:top w:val="single" w:sz="4" w:space="0" w:color="auto"/>
            </w:tcBorders>
            <w:vAlign w:val="center"/>
            <w:hideMark/>
          </w:tcPr>
          <w:p w14:paraId="5726BE79" w14:textId="2A452D7A" w:rsidR="007B16A6" w:rsidRPr="00F025B4" w:rsidRDefault="007B16A6" w:rsidP="0024441A">
            <w:pPr>
              <w:jc w:val="center"/>
              <w:rPr>
                <w:color w:val="000000"/>
                <w:sz w:val="22"/>
                <w:szCs w:val="22"/>
                <w:lang w:val="en-GB" w:eastAsia="es-ES"/>
              </w:rPr>
            </w:pPr>
            <w:r>
              <w:rPr>
                <w:color w:val="000000"/>
                <w:sz w:val="22"/>
                <w:szCs w:val="22"/>
                <w:lang w:val="en-GB" w:eastAsia="es-ES"/>
              </w:rPr>
              <w:t>1.016 (0.904, 1.155)</w:t>
            </w:r>
          </w:p>
        </w:tc>
      </w:tr>
      <w:tr w:rsidR="007B16A6" w:rsidRPr="00F025B4" w14:paraId="337F458D" w14:textId="77777777" w:rsidTr="0024441A">
        <w:trPr>
          <w:trHeight w:val="375"/>
          <w:jc w:val="center"/>
        </w:trPr>
        <w:tc>
          <w:tcPr>
            <w:tcW w:w="1400" w:type="dxa"/>
            <w:vMerge/>
            <w:vAlign w:val="center"/>
            <w:hideMark/>
          </w:tcPr>
          <w:p w14:paraId="5BAFBAA1" w14:textId="77777777" w:rsidR="007B16A6" w:rsidRPr="00F025B4" w:rsidRDefault="007B16A6" w:rsidP="0024441A">
            <w:pPr>
              <w:rPr>
                <w:color w:val="000000"/>
                <w:sz w:val="22"/>
                <w:szCs w:val="22"/>
                <w:lang w:val="en-GB" w:eastAsia="es-ES"/>
              </w:rPr>
            </w:pPr>
          </w:p>
        </w:tc>
        <w:tc>
          <w:tcPr>
            <w:tcW w:w="2080" w:type="dxa"/>
            <w:vAlign w:val="center"/>
            <w:hideMark/>
          </w:tcPr>
          <w:p w14:paraId="7F9797CA" w14:textId="77777777" w:rsidR="007B16A6" w:rsidRPr="00F025B4" w:rsidRDefault="007B16A6" w:rsidP="0024441A">
            <w:pPr>
              <w:jc w:val="center"/>
              <w:rPr>
                <w:color w:val="000000"/>
                <w:sz w:val="22"/>
                <w:szCs w:val="22"/>
                <w:lang w:val="en-GB" w:eastAsia="es-ES"/>
              </w:rPr>
            </w:pPr>
            <w:r>
              <w:rPr>
                <w:color w:val="000000"/>
                <w:sz w:val="22"/>
                <w:szCs w:val="22"/>
                <w:lang w:val="en-GB" w:eastAsia="es-ES"/>
              </w:rPr>
              <w:t>Passing-Bablok</w:t>
            </w:r>
          </w:p>
        </w:tc>
        <w:tc>
          <w:tcPr>
            <w:tcW w:w="2500" w:type="dxa"/>
            <w:vAlign w:val="center"/>
            <w:hideMark/>
          </w:tcPr>
          <w:p w14:paraId="75A71066" w14:textId="0DD5295A" w:rsidR="007B16A6" w:rsidRPr="00F025B4" w:rsidRDefault="007B16A6" w:rsidP="0024441A">
            <w:pPr>
              <w:jc w:val="center"/>
              <w:rPr>
                <w:color w:val="000000"/>
                <w:sz w:val="22"/>
                <w:szCs w:val="22"/>
                <w:lang w:val="en-GB" w:eastAsia="es-ES"/>
              </w:rPr>
            </w:pPr>
            <w:r>
              <w:rPr>
                <w:color w:val="000000"/>
                <w:sz w:val="22"/>
                <w:szCs w:val="22"/>
                <w:lang w:val="en-GB" w:eastAsia="es-ES"/>
              </w:rPr>
              <w:t>-0.127 (-0.419, 0.156)</w:t>
            </w:r>
          </w:p>
        </w:tc>
        <w:tc>
          <w:tcPr>
            <w:tcW w:w="2500" w:type="dxa"/>
            <w:vAlign w:val="center"/>
            <w:hideMark/>
          </w:tcPr>
          <w:p w14:paraId="252D082D" w14:textId="28C39162" w:rsidR="007B16A6" w:rsidRPr="00F025B4" w:rsidRDefault="007B16A6" w:rsidP="0024441A">
            <w:pPr>
              <w:jc w:val="center"/>
              <w:rPr>
                <w:color w:val="000000"/>
                <w:sz w:val="22"/>
                <w:szCs w:val="22"/>
                <w:lang w:val="en-GB" w:eastAsia="es-ES"/>
              </w:rPr>
            </w:pPr>
            <w:r>
              <w:rPr>
                <w:color w:val="000000"/>
                <w:sz w:val="22"/>
                <w:szCs w:val="22"/>
                <w:lang w:val="en-GB" w:eastAsia="es-ES"/>
              </w:rPr>
              <w:t>1.019 (0.877, 1.169)</w:t>
            </w:r>
          </w:p>
        </w:tc>
        <w:tc>
          <w:tcPr>
            <w:tcW w:w="2500" w:type="dxa"/>
            <w:vAlign w:val="center"/>
            <w:hideMark/>
          </w:tcPr>
          <w:p w14:paraId="4B9F6836" w14:textId="096FA6FB" w:rsidR="007B16A6" w:rsidRPr="00F025B4" w:rsidRDefault="007B16A6" w:rsidP="0024441A">
            <w:pPr>
              <w:jc w:val="center"/>
              <w:rPr>
                <w:color w:val="000000"/>
                <w:sz w:val="22"/>
                <w:szCs w:val="22"/>
                <w:lang w:val="en-GB" w:eastAsia="es-ES"/>
              </w:rPr>
            </w:pPr>
            <w:r>
              <w:rPr>
                <w:color w:val="000000"/>
                <w:sz w:val="22"/>
                <w:szCs w:val="22"/>
                <w:lang w:val="en-GB" w:eastAsia="es-ES"/>
              </w:rPr>
              <w:t>-0.127 (-0.414, -0.131)</w:t>
            </w:r>
          </w:p>
        </w:tc>
        <w:tc>
          <w:tcPr>
            <w:tcW w:w="2500" w:type="dxa"/>
            <w:vAlign w:val="center"/>
            <w:hideMark/>
          </w:tcPr>
          <w:p w14:paraId="3D6DAC7E" w14:textId="74BBE035" w:rsidR="007B16A6" w:rsidRPr="00F025B4" w:rsidRDefault="007B16A6" w:rsidP="0024441A">
            <w:pPr>
              <w:jc w:val="center"/>
              <w:rPr>
                <w:color w:val="000000"/>
                <w:sz w:val="22"/>
                <w:szCs w:val="22"/>
                <w:lang w:val="en-GB" w:eastAsia="es-ES"/>
              </w:rPr>
            </w:pPr>
            <w:r>
              <w:rPr>
                <w:color w:val="000000"/>
                <w:sz w:val="22"/>
                <w:szCs w:val="22"/>
                <w:lang w:val="en-GB" w:eastAsia="es-ES"/>
              </w:rPr>
              <w:t>1.019 (0.879, 1.165)</w:t>
            </w:r>
          </w:p>
        </w:tc>
      </w:tr>
      <w:tr w:rsidR="007B16A6" w:rsidRPr="00F025B4" w14:paraId="7111CCFE" w14:textId="77777777" w:rsidTr="0024441A">
        <w:trPr>
          <w:trHeight w:val="375"/>
          <w:jc w:val="center"/>
        </w:trPr>
        <w:tc>
          <w:tcPr>
            <w:tcW w:w="1400" w:type="dxa"/>
            <w:vMerge w:val="restart"/>
            <w:vAlign w:val="center"/>
          </w:tcPr>
          <w:p w14:paraId="222F870C" w14:textId="0AA914B8" w:rsidR="007B16A6" w:rsidRPr="00F025B4" w:rsidRDefault="007B16A6" w:rsidP="007B16A6">
            <w:pPr>
              <w:jc w:val="center"/>
              <w:rPr>
                <w:color w:val="000000"/>
                <w:sz w:val="22"/>
                <w:szCs w:val="22"/>
                <w:lang w:val="en-GB" w:eastAsia="es-ES"/>
              </w:rPr>
            </w:pPr>
            <w:r>
              <w:rPr>
                <w:color w:val="000000"/>
                <w:sz w:val="22"/>
                <w:szCs w:val="22"/>
                <w:lang w:val="en-GB" w:eastAsia="es-ES"/>
              </w:rPr>
              <w:t>MW</w:t>
            </w:r>
          </w:p>
        </w:tc>
        <w:tc>
          <w:tcPr>
            <w:tcW w:w="2080" w:type="dxa"/>
            <w:vAlign w:val="center"/>
          </w:tcPr>
          <w:p w14:paraId="145CA2F7" w14:textId="0C1AE45A" w:rsidR="007B16A6" w:rsidRPr="00F025B4" w:rsidRDefault="007B16A6" w:rsidP="007B16A6">
            <w:pPr>
              <w:jc w:val="center"/>
              <w:rPr>
                <w:color w:val="000000"/>
                <w:sz w:val="22"/>
                <w:szCs w:val="22"/>
                <w:lang w:val="en-GB" w:eastAsia="es-ES"/>
              </w:rPr>
            </w:pPr>
            <w:r>
              <w:rPr>
                <w:color w:val="000000"/>
                <w:sz w:val="22"/>
                <w:szCs w:val="22"/>
                <w:lang w:val="en-GB" w:eastAsia="es-ES"/>
              </w:rPr>
              <w:t>Deming</w:t>
            </w:r>
          </w:p>
        </w:tc>
        <w:tc>
          <w:tcPr>
            <w:tcW w:w="2500" w:type="dxa"/>
            <w:vAlign w:val="center"/>
          </w:tcPr>
          <w:p w14:paraId="40E49BC5" w14:textId="220E78F5" w:rsidR="007B16A6" w:rsidRPr="00F025B4" w:rsidRDefault="007B16A6" w:rsidP="007B16A6">
            <w:pPr>
              <w:jc w:val="center"/>
              <w:rPr>
                <w:color w:val="000000"/>
                <w:sz w:val="22"/>
                <w:szCs w:val="22"/>
                <w:lang w:val="en-GB" w:eastAsia="es-ES"/>
              </w:rPr>
            </w:pPr>
            <w:r>
              <w:rPr>
                <w:color w:val="000000"/>
                <w:sz w:val="22"/>
                <w:szCs w:val="22"/>
                <w:lang w:val="en-GB" w:eastAsia="es-ES"/>
              </w:rPr>
              <w:t>-0.287 (-0.748, 0.062)</w:t>
            </w:r>
          </w:p>
        </w:tc>
        <w:tc>
          <w:tcPr>
            <w:tcW w:w="2500" w:type="dxa"/>
            <w:vAlign w:val="center"/>
          </w:tcPr>
          <w:p w14:paraId="1D38BDB1" w14:textId="1A34BF99" w:rsidR="007B16A6" w:rsidRPr="00F025B4" w:rsidRDefault="007B16A6" w:rsidP="007B16A6">
            <w:pPr>
              <w:jc w:val="center"/>
              <w:rPr>
                <w:color w:val="000000"/>
                <w:sz w:val="22"/>
                <w:szCs w:val="22"/>
                <w:lang w:val="en-GB" w:eastAsia="es-ES"/>
              </w:rPr>
            </w:pPr>
            <w:r>
              <w:rPr>
                <w:color w:val="000000"/>
                <w:sz w:val="22"/>
                <w:szCs w:val="22"/>
                <w:lang w:val="en-GB" w:eastAsia="es-ES"/>
              </w:rPr>
              <w:t>1.083 (0.920, 1.285)</w:t>
            </w:r>
          </w:p>
        </w:tc>
        <w:tc>
          <w:tcPr>
            <w:tcW w:w="2500" w:type="dxa"/>
            <w:vAlign w:val="center"/>
          </w:tcPr>
          <w:p w14:paraId="24D20313" w14:textId="1793622D" w:rsidR="007B16A6" w:rsidRPr="00F025B4" w:rsidRDefault="007B16A6" w:rsidP="007B16A6">
            <w:pPr>
              <w:jc w:val="center"/>
              <w:rPr>
                <w:color w:val="000000"/>
                <w:sz w:val="22"/>
                <w:szCs w:val="22"/>
                <w:lang w:val="en-GB" w:eastAsia="es-ES"/>
              </w:rPr>
            </w:pPr>
            <w:r>
              <w:rPr>
                <w:color w:val="000000"/>
                <w:sz w:val="22"/>
                <w:szCs w:val="22"/>
                <w:lang w:val="en-GB" w:eastAsia="es-ES"/>
              </w:rPr>
              <w:t>-0.287 (-0.732, 0.055)</w:t>
            </w:r>
          </w:p>
        </w:tc>
        <w:tc>
          <w:tcPr>
            <w:tcW w:w="2500" w:type="dxa"/>
            <w:vAlign w:val="center"/>
          </w:tcPr>
          <w:p w14:paraId="27CCA63A" w14:textId="2BD47A01" w:rsidR="007B16A6" w:rsidRPr="00F025B4" w:rsidRDefault="007B16A6" w:rsidP="007B16A6">
            <w:pPr>
              <w:jc w:val="center"/>
              <w:rPr>
                <w:color w:val="000000"/>
                <w:sz w:val="22"/>
                <w:szCs w:val="22"/>
                <w:lang w:val="en-GB" w:eastAsia="es-ES"/>
              </w:rPr>
            </w:pPr>
            <w:r>
              <w:rPr>
                <w:color w:val="000000"/>
                <w:sz w:val="22"/>
                <w:szCs w:val="22"/>
                <w:lang w:val="en-GB" w:eastAsia="es-ES"/>
              </w:rPr>
              <w:t>1.083 (0.927, 1.279)</w:t>
            </w:r>
          </w:p>
        </w:tc>
      </w:tr>
      <w:tr w:rsidR="007B16A6" w:rsidRPr="00F025B4" w14:paraId="1180BBA8" w14:textId="77777777" w:rsidTr="0024441A">
        <w:trPr>
          <w:trHeight w:val="375"/>
          <w:jc w:val="center"/>
        </w:trPr>
        <w:tc>
          <w:tcPr>
            <w:tcW w:w="1400" w:type="dxa"/>
            <w:vMerge/>
            <w:vAlign w:val="center"/>
          </w:tcPr>
          <w:p w14:paraId="52F228E1" w14:textId="77777777" w:rsidR="007B16A6" w:rsidRPr="00F025B4" w:rsidRDefault="007B16A6" w:rsidP="007B16A6">
            <w:pPr>
              <w:jc w:val="center"/>
              <w:rPr>
                <w:color w:val="000000"/>
                <w:sz w:val="22"/>
                <w:szCs w:val="22"/>
                <w:lang w:val="en-GB" w:eastAsia="es-ES"/>
              </w:rPr>
            </w:pPr>
          </w:p>
        </w:tc>
        <w:tc>
          <w:tcPr>
            <w:tcW w:w="2080" w:type="dxa"/>
            <w:vAlign w:val="center"/>
          </w:tcPr>
          <w:p w14:paraId="2F171C47" w14:textId="4F8EBF94" w:rsidR="007B16A6" w:rsidRPr="00F025B4" w:rsidRDefault="007B16A6" w:rsidP="007B16A6">
            <w:pPr>
              <w:jc w:val="center"/>
              <w:rPr>
                <w:color w:val="000000"/>
                <w:sz w:val="22"/>
                <w:szCs w:val="22"/>
                <w:lang w:val="en-GB" w:eastAsia="es-ES"/>
              </w:rPr>
            </w:pPr>
            <w:r>
              <w:rPr>
                <w:color w:val="000000"/>
                <w:sz w:val="22"/>
                <w:szCs w:val="22"/>
                <w:lang w:val="en-GB" w:eastAsia="es-ES"/>
              </w:rPr>
              <w:t>Passing-Bablok</w:t>
            </w:r>
          </w:p>
        </w:tc>
        <w:tc>
          <w:tcPr>
            <w:tcW w:w="2500" w:type="dxa"/>
            <w:vAlign w:val="center"/>
          </w:tcPr>
          <w:p w14:paraId="24A48FC9" w14:textId="5F72121A" w:rsidR="007B16A6" w:rsidRPr="00F025B4" w:rsidRDefault="007B16A6" w:rsidP="007B16A6">
            <w:pPr>
              <w:jc w:val="center"/>
              <w:rPr>
                <w:color w:val="000000"/>
                <w:sz w:val="22"/>
                <w:szCs w:val="22"/>
                <w:lang w:val="en-GB" w:eastAsia="es-ES"/>
              </w:rPr>
            </w:pPr>
            <w:r>
              <w:rPr>
                <w:color w:val="000000"/>
                <w:sz w:val="22"/>
                <w:szCs w:val="22"/>
                <w:lang w:val="en-GB" w:eastAsia="es-ES"/>
              </w:rPr>
              <w:t>-0.366 (-0.902, 0.044)</w:t>
            </w:r>
          </w:p>
        </w:tc>
        <w:tc>
          <w:tcPr>
            <w:tcW w:w="2500" w:type="dxa"/>
            <w:vAlign w:val="center"/>
          </w:tcPr>
          <w:p w14:paraId="582CCA24" w14:textId="25F03A3A" w:rsidR="007B16A6" w:rsidRPr="00F025B4" w:rsidRDefault="007B16A6" w:rsidP="007B16A6">
            <w:pPr>
              <w:jc w:val="center"/>
              <w:rPr>
                <w:color w:val="000000"/>
                <w:sz w:val="22"/>
                <w:szCs w:val="22"/>
                <w:lang w:val="en-GB" w:eastAsia="es-ES"/>
              </w:rPr>
            </w:pPr>
            <w:r>
              <w:rPr>
                <w:color w:val="000000"/>
                <w:sz w:val="22"/>
                <w:szCs w:val="22"/>
                <w:lang w:val="en-GB" w:eastAsia="es-ES"/>
              </w:rPr>
              <w:t>1.123 (0.924, 1.374)</w:t>
            </w:r>
          </w:p>
        </w:tc>
        <w:tc>
          <w:tcPr>
            <w:tcW w:w="2500" w:type="dxa"/>
            <w:vAlign w:val="center"/>
          </w:tcPr>
          <w:p w14:paraId="4953A2CA" w14:textId="144C2887" w:rsidR="007B16A6" w:rsidRPr="00F025B4" w:rsidRDefault="007B16A6" w:rsidP="007B16A6">
            <w:pPr>
              <w:jc w:val="center"/>
              <w:rPr>
                <w:color w:val="000000"/>
                <w:sz w:val="22"/>
                <w:szCs w:val="22"/>
                <w:lang w:val="en-GB" w:eastAsia="es-ES"/>
              </w:rPr>
            </w:pPr>
            <w:r>
              <w:rPr>
                <w:color w:val="000000"/>
                <w:sz w:val="22"/>
                <w:szCs w:val="22"/>
                <w:lang w:val="en-GB" w:eastAsia="es-ES"/>
              </w:rPr>
              <w:t>-0.366 (-0.872, 0.193)</w:t>
            </w:r>
          </w:p>
        </w:tc>
        <w:tc>
          <w:tcPr>
            <w:tcW w:w="2500" w:type="dxa"/>
            <w:vAlign w:val="center"/>
          </w:tcPr>
          <w:p w14:paraId="289905D0" w14:textId="50B0EF88" w:rsidR="007B16A6" w:rsidRPr="00F025B4" w:rsidRDefault="007B16A6" w:rsidP="007B16A6">
            <w:pPr>
              <w:jc w:val="center"/>
              <w:rPr>
                <w:color w:val="000000"/>
                <w:sz w:val="22"/>
                <w:szCs w:val="22"/>
                <w:lang w:val="en-GB" w:eastAsia="es-ES"/>
              </w:rPr>
            </w:pPr>
            <w:r>
              <w:rPr>
                <w:color w:val="000000"/>
                <w:sz w:val="22"/>
                <w:szCs w:val="22"/>
                <w:lang w:val="en-GB" w:eastAsia="es-ES"/>
              </w:rPr>
              <w:t>1.123 (0.924, 1.350)</w:t>
            </w:r>
          </w:p>
        </w:tc>
      </w:tr>
      <w:tr w:rsidR="007B16A6" w:rsidRPr="00F025B4" w14:paraId="526CD3FB" w14:textId="77777777" w:rsidTr="0024441A">
        <w:trPr>
          <w:trHeight w:val="375"/>
          <w:jc w:val="center"/>
        </w:trPr>
        <w:tc>
          <w:tcPr>
            <w:tcW w:w="1400" w:type="dxa"/>
            <w:vMerge w:val="restart"/>
            <w:vAlign w:val="center"/>
            <w:hideMark/>
          </w:tcPr>
          <w:p w14:paraId="349BFBA7" w14:textId="77777777" w:rsidR="007B16A6" w:rsidRPr="00F025B4" w:rsidRDefault="007B16A6" w:rsidP="0024441A">
            <w:pPr>
              <w:jc w:val="center"/>
              <w:rPr>
                <w:color w:val="000000"/>
                <w:sz w:val="22"/>
                <w:szCs w:val="22"/>
                <w:lang w:val="en-GB" w:eastAsia="es-ES"/>
              </w:rPr>
            </w:pPr>
            <w:r>
              <w:rPr>
                <w:color w:val="000000"/>
                <w:sz w:val="22"/>
                <w:szCs w:val="22"/>
                <w:lang w:val="en-GB" w:eastAsia="es-ES"/>
              </w:rPr>
              <w:t>RW</w:t>
            </w:r>
          </w:p>
        </w:tc>
        <w:tc>
          <w:tcPr>
            <w:tcW w:w="2080" w:type="dxa"/>
            <w:vAlign w:val="center"/>
            <w:hideMark/>
          </w:tcPr>
          <w:p w14:paraId="5F120FCE" w14:textId="77777777" w:rsidR="007B16A6" w:rsidRPr="00F025B4" w:rsidRDefault="007B16A6" w:rsidP="0024441A">
            <w:pPr>
              <w:jc w:val="center"/>
              <w:rPr>
                <w:color w:val="000000"/>
                <w:sz w:val="22"/>
                <w:szCs w:val="22"/>
                <w:lang w:val="en-GB" w:eastAsia="es-ES"/>
              </w:rPr>
            </w:pPr>
            <w:r>
              <w:rPr>
                <w:color w:val="000000"/>
                <w:sz w:val="22"/>
                <w:szCs w:val="22"/>
                <w:lang w:val="en-GB" w:eastAsia="es-ES"/>
              </w:rPr>
              <w:t>Deming</w:t>
            </w:r>
          </w:p>
        </w:tc>
        <w:tc>
          <w:tcPr>
            <w:tcW w:w="2500" w:type="dxa"/>
            <w:vAlign w:val="center"/>
            <w:hideMark/>
          </w:tcPr>
          <w:p w14:paraId="52F53F61" w14:textId="7AD8EC98" w:rsidR="007B16A6" w:rsidRPr="00F025B4" w:rsidRDefault="007B16A6" w:rsidP="0024441A">
            <w:pPr>
              <w:jc w:val="center"/>
              <w:rPr>
                <w:color w:val="000000"/>
                <w:sz w:val="22"/>
                <w:szCs w:val="22"/>
                <w:lang w:val="en-GB" w:eastAsia="es-ES"/>
              </w:rPr>
            </w:pPr>
            <w:r>
              <w:rPr>
                <w:color w:val="000000"/>
                <w:sz w:val="22"/>
                <w:szCs w:val="22"/>
                <w:lang w:val="en-GB" w:eastAsia="es-ES"/>
              </w:rPr>
              <w:t>-0.093 (-0.264, 0.097)</w:t>
            </w:r>
          </w:p>
        </w:tc>
        <w:tc>
          <w:tcPr>
            <w:tcW w:w="2500" w:type="dxa"/>
            <w:vAlign w:val="center"/>
            <w:hideMark/>
          </w:tcPr>
          <w:p w14:paraId="258D5B82" w14:textId="4287562D" w:rsidR="007B16A6" w:rsidRPr="00F025B4" w:rsidRDefault="007B16A6" w:rsidP="0024441A">
            <w:pPr>
              <w:jc w:val="center"/>
              <w:rPr>
                <w:color w:val="000000"/>
                <w:sz w:val="22"/>
                <w:szCs w:val="22"/>
                <w:lang w:val="en-GB" w:eastAsia="es-ES"/>
              </w:rPr>
            </w:pPr>
            <w:r>
              <w:rPr>
                <w:color w:val="000000"/>
                <w:sz w:val="22"/>
                <w:szCs w:val="22"/>
                <w:lang w:val="en-GB" w:eastAsia="es-ES"/>
              </w:rPr>
              <w:t>1.014 (0.929, 1.087)</w:t>
            </w:r>
          </w:p>
        </w:tc>
        <w:tc>
          <w:tcPr>
            <w:tcW w:w="2500" w:type="dxa"/>
            <w:vAlign w:val="center"/>
            <w:hideMark/>
          </w:tcPr>
          <w:p w14:paraId="3AFC59F3" w14:textId="0A103B18" w:rsidR="007B16A6" w:rsidRPr="00F025B4" w:rsidRDefault="007B16A6" w:rsidP="0024441A">
            <w:pPr>
              <w:jc w:val="center"/>
              <w:rPr>
                <w:color w:val="000000"/>
                <w:sz w:val="22"/>
                <w:szCs w:val="22"/>
                <w:lang w:val="en-GB" w:eastAsia="es-ES"/>
              </w:rPr>
            </w:pPr>
            <w:r>
              <w:rPr>
                <w:color w:val="000000"/>
                <w:sz w:val="22"/>
                <w:szCs w:val="22"/>
                <w:lang w:val="en-GB" w:eastAsia="es-ES"/>
              </w:rPr>
              <w:t>-0.093 (-0.259, 0.088)</w:t>
            </w:r>
          </w:p>
        </w:tc>
        <w:tc>
          <w:tcPr>
            <w:tcW w:w="2500" w:type="dxa"/>
            <w:vAlign w:val="center"/>
            <w:hideMark/>
          </w:tcPr>
          <w:p w14:paraId="7E13A34E" w14:textId="350BFC24" w:rsidR="007B16A6" w:rsidRPr="00F025B4" w:rsidRDefault="007B16A6" w:rsidP="0024441A">
            <w:pPr>
              <w:jc w:val="center"/>
              <w:rPr>
                <w:color w:val="000000"/>
                <w:sz w:val="22"/>
                <w:szCs w:val="22"/>
                <w:lang w:val="en-GB" w:eastAsia="es-ES"/>
              </w:rPr>
            </w:pPr>
            <w:r>
              <w:rPr>
                <w:color w:val="000000"/>
                <w:sz w:val="22"/>
                <w:szCs w:val="22"/>
                <w:lang w:val="en-GB" w:eastAsia="es-ES"/>
              </w:rPr>
              <w:t>1.014 (0.938, 1.091)</w:t>
            </w:r>
          </w:p>
        </w:tc>
      </w:tr>
      <w:tr w:rsidR="007B16A6" w:rsidRPr="00F025B4" w14:paraId="09CD4550" w14:textId="77777777" w:rsidTr="0024441A">
        <w:trPr>
          <w:trHeight w:val="375"/>
          <w:jc w:val="center"/>
        </w:trPr>
        <w:tc>
          <w:tcPr>
            <w:tcW w:w="1400" w:type="dxa"/>
            <w:vMerge/>
            <w:vAlign w:val="center"/>
            <w:hideMark/>
          </w:tcPr>
          <w:p w14:paraId="340D2CB6" w14:textId="77777777" w:rsidR="007B16A6" w:rsidRPr="00F025B4" w:rsidRDefault="007B16A6" w:rsidP="0024441A">
            <w:pPr>
              <w:rPr>
                <w:color w:val="000000"/>
                <w:sz w:val="22"/>
                <w:szCs w:val="22"/>
                <w:lang w:val="en-GB" w:eastAsia="es-ES"/>
              </w:rPr>
            </w:pPr>
          </w:p>
        </w:tc>
        <w:tc>
          <w:tcPr>
            <w:tcW w:w="2080" w:type="dxa"/>
            <w:vAlign w:val="center"/>
            <w:hideMark/>
          </w:tcPr>
          <w:p w14:paraId="78790480" w14:textId="77777777" w:rsidR="007B16A6" w:rsidRPr="00F025B4" w:rsidRDefault="007B16A6" w:rsidP="0024441A">
            <w:pPr>
              <w:jc w:val="center"/>
              <w:rPr>
                <w:color w:val="000000"/>
                <w:sz w:val="22"/>
                <w:szCs w:val="22"/>
                <w:lang w:val="en-GB" w:eastAsia="es-ES"/>
              </w:rPr>
            </w:pPr>
            <w:r>
              <w:rPr>
                <w:color w:val="000000"/>
                <w:sz w:val="22"/>
                <w:szCs w:val="22"/>
                <w:lang w:val="en-GB" w:eastAsia="es-ES"/>
              </w:rPr>
              <w:t>Passing-Bablok</w:t>
            </w:r>
          </w:p>
        </w:tc>
        <w:tc>
          <w:tcPr>
            <w:tcW w:w="2500" w:type="dxa"/>
            <w:vAlign w:val="center"/>
            <w:hideMark/>
          </w:tcPr>
          <w:p w14:paraId="55AEA027" w14:textId="2A772BAA" w:rsidR="007B16A6" w:rsidRPr="00F025B4" w:rsidRDefault="007B16A6" w:rsidP="0024441A">
            <w:pPr>
              <w:jc w:val="center"/>
              <w:rPr>
                <w:color w:val="000000"/>
                <w:sz w:val="22"/>
                <w:szCs w:val="22"/>
                <w:lang w:val="en-GB" w:eastAsia="es-ES"/>
              </w:rPr>
            </w:pPr>
            <w:r>
              <w:rPr>
                <w:color w:val="000000"/>
                <w:sz w:val="22"/>
                <w:szCs w:val="22"/>
                <w:lang w:val="en-GB" w:eastAsia="es-ES"/>
              </w:rPr>
              <w:t>-0.119 (-0.271, 0.087)</w:t>
            </w:r>
          </w:p>
        </w:tc>
        <w:tc>
          <w:tcPr>
            <w:tcW w:w="2500" w:type="dxa"/>
            <w:vAlign w:val="center"/>
            <w:hideMark/>
          </w:tcPr>
          <w:p w14:paraId="2742E989" w14:textId="6302DB70" w:rsidR="007B16A6" w:rsidRPr="00F025B4" w:rsidRDefault="007B16A6" w:rsidP="0024441A">
            <w:pPr>
              <w:jc w:val="center"/>
              <w:rPr>
                <w:color w:val="000000"/>
                <w:sz w:val="22"/>
                <w:szCs w:val="22"/>
                <w:lang w:val="en-GB" w:eastAsia="es-ES"/>
              </w:rPr>
            </w:pPr>
            <w:r>
              <w:rPr>
                <w:color w:val="000000"/>
                <w:sz w:val="22"/>
                <w:szCs w:val="22"/>
                <w:lang w:val="en-GB" w:eastAsia="es-ES"/>
              </w:rPr>
              <w:t>1.028 (0.936, 1.112)</w:t>
            </w:r>
          </w:p>
        </w:tc>
        <w:tc>
          <w:tcPr>
            <w:tcW w:w="2500" w:type="dxa"/>
            <w:vAlign w:val="center"/>
            <w:hideMark/>
          </w:tcPr>
          <w:p w14:paraId="4D05FFCA" w14:textId="380E1C14" w:rsidR="007B16A6" w:rsidRPr="00F025B4" w:rsidRDefault="00233024" w:rsidP="0024441A">
            <w:pPr>
              <w:jc w:val="center"/>
              <w:rPr>
                <w:color w:val="000000"/>
                <w:sz w:val="22"/>
                <w:szCs w:val="22"/>
                <w:lang w:val="en-GB" w:eastAsia="es-ES"/>
              </w:rPr>
            </w:pPr>
            <w:r>
              <w:rPr>
                <w:color w:val="000000"/>
                <w:sz w:val="22"/>
                <w:szCs w:val="22"/>
                <w:lang w:val="en-GB" w:eastAsia="es-ES"/>
              </w:rPr>
              <w:t>-0.119 (-0.298, 0.096)</w:t>
            </w:r>
          </w:p>
        </w:tc>
        <w:tc>
          <w:tcPr>
            <w:tcW w:w="2500" w:type="dxa"/>
            <w:vAlign w:val="center"/>
            <w:hideMark/>
          </w:tcPr>
          <w:p w14:paraId="7A32CC1C" w14:textId="6887E7AE" w:rsidR="007B16A6" w:rsidRPr="00F025B4" w:rsidRDefault="007B16A6" w:rsidP="0024441A">
            <w:pPr>
              <w:jc w:val="center"/>
              <w:rPr>
                <w:color w:val="000000"/>
                <w:sz w:val="22"/>
                <w:szCs w:val="22"/>
                <w:lang w:val="en-GB" w:eastAsia="es-ES"/>
              </w:rPr>
            </w:pPr>
            <w:r>
              <w:rPr>
                <w:color w:val="000000"/>
                <w:sz w:val="22"/>
                <w:szCs w:val="22"/>
                <w:lang w:val="en-GB" w:eastAsia="es-ES"/>
              </w:rPr>
              <w:t>1.028 (0.932, 1.103)</w:t>
            </w:r>
          </w:p>
        </w:tc>
      </w:tr>
      <w:tr w:rsidR="007B16A6" w:rsidRPr="00F025B4" w14:paraId="0EB7FFE6" w14:textId="77777777" w:rsidTr="0024441A">
        <w:trPr>
          <w:trHeight w:val="375"/>
          <w:jc w:val="center"/>
        </w:trPr>
        <w:tc>
          <w:tcPr>
            <w:tcW w:w="1400" w:type="dxa"/>
            <w:vMerge w:val="restart"/>
            <w:vAlign w:val="center"/>
            <w:hideMark/>
          </w:tcPr>
          <w:p w14:paraId="22E8BA59" w14:textId="77777777" w:rsidR="007B16A6" w:rsidRPr="00F025B4" w:rsidRDefault="007B16A6" w:rsidP="0024441A">
            <w:pPr>
              <w:jc w:val="center"/>
              <w:rPr>
                <w:color w:val="000000"/>
                <w:sz w:val="22"/>
                <w:szCs w:val="22"/>
                <w:lang w:val="en-GB" w:eastAsia="es-ES"/>
              </w:rPr>
            </w:pPr>
            <w:r>
              <w:rPr>
                <w:color w:val="000000"/>
                <w:sz w:val="22"/>
                <w:szCs w:val="22"/>
                <w:lang w:val="en-GB" w:eastAsia="es-ES"/>
              </w:rPr>
              <w:t>SW</w:t>
            </w:r>
          </w:p>
        </w:tc>
        <w:tc>
          <w:tcPr>
            <w:tcW w:w="2080" w:type="dxa"/>
            <w:vAlign w:val="center"/>
            <w:hideMark/>
          </w:tcPr>
          <w:p w14:paraId="5541A938" w14:textId="77777777" w:rsidR="007B16A6" w:rsidRPr="00F025B4" w:rsidRDefault="007B16A6" w:rsidP="0024441A">
            <w:pPr>
              <w:jc w:val="center"/>
              <w:rPr>
                <w:color w:val="000000"/>
                <w:sz w:val="22"/>
                <w:szCs w:val="22"/>
                <w:lang w:val="en-GB" w:eastAsia="es-ES"/>
              </w:rPr>
            </w:pPr>
            <w:r>
              <w:rPr>
                <w:color w:val="000000"/>
                <w:sz w:val="22"/>
                <w:szCs w:val="22"/>
                <w:lang w:val="en-GB" w:eastAsia="es-ES"/>
              </w:rPr>
              <w:t>Deming</w:t>
            </w:r>
          </w:p>
        </w:tc>
        <w:tc>
          <w:tcPr>
            <w:tcW w:w="2500" w:type="dxa"/>
            <w:vAlign w:val="center"/>
            <w:hideMark/>
          </w:tcPr>
          <w:p w14:paraId="5305AEB9" w14:textId="2E80FAF7" w:rsidR="007B16A6" w:rsidRPr="00F025B4" w:rsidRDefault="007B16A6" w:rsidP="0024441A">
            <w:pPr>
              <w:jc w:val="center"/>
              <w:rPr>
                <w:color w:val="000000"/>
                <w:sz w:val="22"/>
                <w:szCs w:val="22"/>
                <w:lang w:val="en-GB" w:eastAsia="es-ES"/>
              </w:rPr>
            </w:pPr>
            <w:r>
              <w:rPr>
                <w:color w:val="000000"/>
                <w:sz w:val="22"/>
                <w:szCs w:val="22"/>
                <w:lang w:val="en-GB" w:eastAsia="es-ES"/>
              </w:rPr>
              <w:t>-0.060 (-0.163, 0.061)</w:t>
            </w:r>
          </w:p>
        </w:tc>
        <w:tc>
          <w:tcPr>
            <w:tcW w:w="2500" w:type="dxa"/>
            <w:vAlign w:val="center"/>
            <w:hideMark/>
          </w:tcPr>
          <w:p w14:paraId="1C0CBFD5" w14:textId="38592DB2" w:rsidR="007B16A6" w:rsidRPr="00F025B4" w:rsidRDefault="007B16A6" w:rsidP="0024441A">
            <w:pPr>
              <w:jc w:val="center"/>
              <w:rPr>
                <w:color w:val="000000"/>
                <w:sz w:val="22"/>
                <w:szCs w:val="22"/>
                <w:lang w:val="en-GB" w:eastAsia="es-ES"/>
              </w:rPr>
            </w:pPr>
            <w:r>
              <w:rPr>
                <w:color w:val="000000"/>
                <w:sz w:val="22"/>
                <w:szCs w:val="22"/>
                <w:lang w:val="en-GB" w:eastAsia="es-ES"/>
              </w:rPr>
              <w:t>1.021 (0.963, 1.070)</w:t>
            </w:r>
          </w:p>
        </w:tc>
        <w:tc>
          <w:tcPr>
            <w:tcW w:w="2500" w:type="dxa"/>
            <w:vAlign w:val="center"/>
            <w:hideMark/>
          </w:tcPr>
          <w:p w14:paraId="302812F1" w14:textId="1496F495" w:rsidR="007B16A6" w:rsidRPr="00F025B4" w:rsidRDefault="007B16A6" w:rsidP="0024441A">
            <w:pPr>
              <w:jc w:val="center"/>
              <w:rPr>
                <w:color w:val="000000"/>
                <w:sz w:val="22"/>
                <w:szCs w:val="22"/>
                <w:lang w:val="en-GB" w:eastAsia="es-ES"/>
              </w:rPr>
            </w:pPr>
            <w:r>
              <w:rPr>
                <w:color w:val="000000"/>
                <w:sz w:val="22"/>
                <w:szCs w:val="22"/>
                <w:lang w:val="en-GB" w:eastAsia="es-ES"/>
              </w:rPr>
              <w:t>-0.060 (-0.155, 0.056)</w:t>
            </w:r>
          </w:p>
        </w:tc>
        <w:tc>
          <w:tcPr>
            <w:tcW w:w="2500" w:type="dxa"/>
            <w:vAlign w:val="center"/>
            <w:hideMark/>
          </w:tcPr>
          <w:p w14:paraId="0C6B62BF" w14:textId="5E75A6F3" w:rsidR="007B16A6" w:rsidRPr="00F025B4" w:rsidRDefault="007B16A6" w:rsidP="0024441A">
            <w:pPr>
              <w:jc w:val="center"/>
              <w:rPr>
                <w:color w:val="000000"/>
                <w:sz w:val="22"/>
                <w:szCs w:val="22"/>
                <w:lang w:val="en-GB" w:eastAsia="es-ES"/>
              </w:rPr>
            </w:pPr>
            <w:r>
              <w:rPr>
                <w:color w:val="000000"/>
                <w:sz w:val="22"/>
                <w:szCs w:val="22"/>
                <w:lang w:val="en-GB" w:eastAsia="es-ES"/>
              </w:rPr>
              <w:t>1.021 (0.959, 1.070)</w:t>
            </w:r>
          </w:p>
        </w:tc>
      </w:tr>
      <w:tr w:rsidR="00055443" w:rsidRPr="00F025B4" w14:paraId="1E2C6102" w14:textId="77777777" w:rsidTr="0024441A">
        <w:trPr>
          <w:trHeight w:val="375"/>
          <w:jc w:val="center"/>
        </w:trPr>
        <w:tc>
          <w:tcPr>
            <w:tcW w:w="1400" w:type="dxa"/>
            <w:vMerge/>
            <w:vAlign w:val="center"/>
            <w:hideMark/>
          </w:tcPr>
          <w:p w14:paraId="43E0CB1C" w14:textId="77777777" w:rsidR="00055443" w:rsidRPr="00F025B4" w:rsidRDefault="00055443" w:rsidP="00055443">
            <w:pPr>
              <w:rPr>
                <w:color w:val="000000"/>
                <w:sz w:val="22"/>
                <w:szCs w:val="22"/>
                <w:lang w:val="en-GB" w:eastAsia="es-ES"/>
              </w:rPr>
            </w:pPr>
          </w:p>
        </w:tc>
        <w:tc>
          <w:tcPr>
            <w:tcW w:w="2080" w:type="dxa"/>
            <w:vAlign w:val="center"/>
            <w:hideMark/>
          </w:tcPr>
          <w:p w14:paraId="21DCBFA0" w14:textId="77777777" w:rsidR="00055443" w:rsidRPr="00F025B4" w:rsidRDefault="00055443" w:rsidP="00055443">
            <w:pPr>
              <w:jc w:val="center"/>
              <w:rPr>
                <w:color w:val="000000"/>
                <w:sz w:val="22"/>
                <w:szCs w:val="22"/>
                <w:lang w:val="en-GB" w:eastAsia="es-ES"/>
              </w:rPr>
            </w:pPr>
            <w:r>
              <w:rPr>
                <w:color w:val="000000"/>
                <w:sz w:val="22"/>
                <w:szCs w:val="22"/>
                <w:lang w:val="en-GB" w:eastAsia="es-ES"/>
              </w:rPr>
              <w:t>Passing-Bablok</w:t>
            </w:r>
          </w:p>
        </w:tc>
        <w:tc>
          <w:tcPr>
            <w:tcW w:w="2500" w:type="dxa"/>
            <w:vAlign w:val="center"/>
            <w:hideMark/>
          </w:tcPr>
          <w:p w14:paraId="2CB0176C" w14:textId="47FA5A1D" w:rsidR="00055443" w:rsidRPr="00F025B4" w:rsidRDefault="00055443" w:rsidP="00055443">
            <w:pPr>
              <w:jc w:val="center"/>
              <w:rPr>
                <w:color w:val="000000"/>
                <w:sz w:val="22"/>
                <w:szCs w:val="22"/>
                <w:lang w:val="en-GB" w:eastAsia="es-ES"/>
              </w:rPr>
            </w:pPr>
            <w:r>
              <w:rPr>
                <w:color w:val="000000"/>
                <w:sz w:val="22"/>
                <w:szCs w:val="22"/>
                <w:lang w:val="en-GB" w:eastAsia="es-ES"/>
              </w:rPr>
              <w:t>-0.089 (-0.213, 0.075)</w:t>
            </w:r>
          </w:p>
        </w:tc>
        <w:tc>
          <w:tcPr>
            <w:tcW w:w="2500" w:type="dxa"/>
            <w:vAlign w:val="center"/>
            <w:hideMark/>
          </w:tcPr>
          <w:p w14:paraId="7A7F49D8" w14:textId="5645EE5C" w:rsidR="00055443" w:rsidRPr="00F025B4" w:rsidRDefault="00055443" w:rsidP="00055443">
            <w:pPr>
              <w:jc w:val="center"/>
              <w:rPr>
                <w:color w:val="000000"/>
                <w:sz w:val="22"/>
                <w:szCs w:val="22"/>
                <w:lang w:val="en-GB" w:eastAsia="es-ES"/>
              </w:rPr>
            </w:pPr>
            <w:r>
              <w:rPr>
                <w:color w:val="000000"/>
                <w:sz w:val="22"/>
                <w:szCs w:val="22"/>
                <w:lang w:val="en-GB" w:eastAsia="es-ES"/>
              </w:rPr>
              <w:t>1.031 (0.972, 1.093)</w:t>
            </w:r>
          </w:p>
        </w:tc>
        <w:tc>
          <w:tcPr>
            <w:tcW w:w="2500" w:type="dxa"/>
            <w:vAlign w:val="center"/>
            <w:hideMark/>
          </w:tcPr>
          <w:p w14:paraId="0040EBD8" w14:textId="65F1FAAC" w:rsidR="00055443" w:rsidRPr="00F025B4" w:rsidRDefault="00055443" w:rsidP="00055443">
            <w:pPr>
              <w:jc w:val="center"/>
              <w:rPr>
                <w:color w:val="000000"/>
                <w:sz w:val="22"/>
                <w:szCs w:val="22"/>
                <w:lang w:val="en-GB" w:eastAsia="es-ES"/>
              </w:rPr>
            </w:pPr>
            <w:r>
              <w:rPr>
                <w:color w:val="000000"/>
                <w:sz w:val="22"/>
                <w:szCs w:val="22"/>
                <w:lang w:val="en-GB" w:eastAsia="es-ES"/>
              </w:rPr>
              <w:t>-0.089 (-0.217, 0.066)</w:t>
            </w:r>
          </w:p>
        </w:tc>
        <w:tc>
          <w:tcPr>
            <w:tcW w:w="2500" w:type="dxa"/>
            <w:vAlign w:val="center"/>
            <w:hideMark/>
          </w:tcPr>
          <w:p w14:paraId="55A4610F" w14:textId="6AE96664" w:rsidR="00055443" w:rsidRPr="00F025B4" w:rsidRDefault="00055443" w:rsidP="00055443">
            <w:pPr>
              <w:jc w:val="center"/>
              <w:rPr>
                <w:color w:val="000000"/>
                <w:sz w:val="22"/>
                <w:szCs w:val="22"/>
                <w:lang w:val="en-GB" w:eastAsia="es-ES"/>
              </w:rPr>
            </w:pPr>
            <w:r>
              <w:rPr>
                <w:color w:val="000000"/>
                <w:sz w:val="22"/>
                <w:szCs w:val="22"/>
                <w:lang w:val="en-GB" w:eastAsia="es-ES"/>
              </w:rPr>
              <w:t>1.031 (0.972, 1.099)</w:t>
            </w:r>
          </w:p>
        </w:tc>
      </w:tr>
      <w:tr w:rsidR="007B16A6" w:rsidRPr="00F025B4" w14:paraId="3E85CD23" w14:textId="77777777" w:rsidTr="0024441A">
        <w:trPr>
          <w:trHeight w:val="375"/>
          <w:jc w:val="center"/>
        </w:trPr>
        <w:tc>
          <w:tcPr>
            <w:tcW w:w="1400" w:type="dxa"/>
            <w:vMerge w:val="restart"/>
            <w:vAlign w:val="center"/>
            <w:hideMark/>
          </w:tcPr>
          <w:p w14:paraId="27924273" w14:textId="77777777" w:rsidR="007B16A6" w:rsidRPr="00F025B4" w:rsidRDefault="007B16A6" w:rsidP="0024441A">
            <w:pPr>
              <w:jc w:val="center"/>
              <w:rPr>
                <w:color w:val="000000"/>
                <w:sz w:val="22"/>
                <w:szCs w:val="22"/>
                <w:lang w:val="en-GB" w:eastAsia="es-ES"/>
              </w:rPr>
            </w:pPr>
            <w:r>
              <w:rPr>
                <w:color w:val="000000"/>
                <w:sz w:val="22"/>
                <w:szCs w:val="22"/>
                <w:lang w:val="en-GB" w:eastAsia="es-ES"/>
              </w:rPr>
              <w:t>WW</w:t>
            </w:r>
          </w:p>
        </w:tc>
        <w:tc>
          <w:tcPr>
            <w:tcW w:w="2080" w:type="dxa"/>
            <w:vAlign w:val="center"/>
            <w:hideMark/>
          </w:tcPr>
          <w:p w14:paraId="310BFC83" w14:textId="77777777" w:rsidR="007B16A6" w:rsidRPr="00F025B4" w:rsidRDefault="007B16A6" w:rsidP="0024441A">
            <w:pPr>
              <w:jc w:val="center"/>
              <w:rPr>
                <w:color w:val="000000"/>
                <w:sz w:val="22"/>
                <w:szCs w:val="22"/>
                <w:lang w:val="en-GB" w:eastAsia="es-ES"/>
              </w:rPr>
            </w:pPr>
            <w:r>
              <w:rPr>
                <w:color w:val="000000"/>
                <w:sz w:val="22"/>
                <w:szCs w:val="22"/>
                <w:lang w:val="en-GB" w:eastAsia="es-ES"/>
              </w:rPr>
              <w:t>Deming</w:t>
            </w:r>
          </w:p>
        </w:tc>
        <w:tc>
          <w:tcPr>
            <w:tcW w:w="2500" w:type="dxa"/>
            <w:vAlign w:val="center"/>
            <w:hideMark/>
          </w:tcPr>
          <w:p w14:paraId="33E2F30D" w14:textId="4A04A1EB" w:rsidR="007B16A6" w:rsidRPr="00F025B4" w:rsidRDefault="007B16A6" w:rsidP="0024441A">
            <w:pPr>
              <w:jc w:val="center"/>
              <w:rPr>
                <w:color w:val="000000"/>
                <w:sz w:val="22"/>
                <w:szCs w:val="22"/>
                <w:lang w:val="en-GB" w:eastAsia="es-ES"/>
              </w:rPr>
            </w:pPr>
            <w:r>
              <w:rPr>
                <w:color w:val="000000"/>
                <w:sz w:val="22"/>
                <w:szCs w:val="22"/>
                <w:lang w:val="en-GB" w:eastAsia="es-ES"/>
              </w:rPr>
              <w:t>-0.170 (-0.366, -0.001)</w:t>
            </w:r>
          </w:p>
        </w:tc>
        <w:tc>
          <w:tcPr>
            <w:tcW w:w="2500" w:type="dxa"/>
            <w:vAlign w:val="center"/>
            <w:hideMark/>
          </w:tcPr>
          <w:p w14:paraId="2492FBD0" w14:textId="13EC8480" w:rsidR="007B16A6" w:rsidRPr="00F025B4" w:rsidRDefault="007B16A6" w:rsidP="0024441A">
            <w:pPr>
              <w:jc w:val="center"/>
              <w:rPr>
                <w:color w:val="000000"/>
                <w:sz w:val="22"/>
                <w:szCs w:val="22"/>
                <w:lang w:val="en-GB" w:eastAsia="es-ES"/>
              </w:rPr>
            </w:pPr>
            <w:r>
              <w:rPr>
                <w:color w:val="000000"/>
                <w:sz w:val="22"/>
                <w:szCs w:val="22"/>
                <w:lang w:val="en-GB" w:eastAsia="es-ES"/>
              </w:rPr>
              <w:t>1.057 (0.992, 1.139)</w:t>
            </w:r>
          </w:p>
        </w:tc>
        <w:tc>
          <w:tcPr>
            <w:tcW w:w="2500" w:type="dxa"/>
            <w:vAlign w:val="center"/>
            <w:hideMark/>
          </w:tcPr>
          <w:p w14:paraId="35D315FB" w14:textId="0158E9AC" w:rsidR="007B16A6" w:rsidRPr="00F025B4" w:rsidRDefault="007B16A6" w:rsidP="0024441A">
            <w:pPr>
              <w:jc w:val="center"/>
              <w:rPr>
                <w:color w:val="000000"/>
                <w:sz w:val="22"/>
                <w:szCs w:val="22"/>
                <w:lang w:val="en-GB" w:eastAsia="es-ES"/>
              </w:rPr>
            </w:pPr>
            <w:r>
              <w:rPr>
                <w:color w:val="000000"/>
                <w:sz w:val="22"/>
                <w:szCs w:val="22"/>
                <w:lang w:val="en-GB" w:eastAsia="es-ES"/>
              </w:rPr>
              <w:t>-0.170 (-0.378, 0.005)</w:t>
            </w:r>
          </w:p>
        </w:tc>
        <w:tc>
          <w:tcPr>
            <w:tcW w:w="2500" w:type="dxa"/>
            <w:vAlign w:val="center"/>
            <w:hideMark/>
          </w:tcPr>
          <w:p w14:paraId="7DFF1998" w14:textId="74CB00F7" w:rsidR="007B16A6" w:rsidRPr="00F025B4" w:rsidRDefault="007B16A6" w:rsidP="0024441A">
            <w:pPr>
              <w:jc w:val="center"/>
              <w:rPr>
                <w:color w:val="000000"/>
                <w:sz w:val="22"/>
                <w:szCs w:val="22"/>
                <w:lang w:val="en-GB" w:eastAsia="es-ES"/>
              </w:rPr>
            </w:pPr>
            <w:r>
              <w:rPr>
                <w:color w:val="000000"/>
                <w:sz w:val="22"/>
                <w:szCs w:val="22"/>
                <w:lang w:val="en-GB" w:eastAsia="es-ES"/>
              </w:rPr>
              <w:t>1.057 (0.989, 1.141)</w:t>
            </w:r>
          </w:p>
        </w:tc>
      </w:tr>
      <w:tr w:rsidR="007B16A6" w:rsidRPr="00F025B4" w14:paraId="79D3DA4E" w14:textId="77777777" w:rsidTr="0024441A">
        <w:trPr>
          <w:trHeight w:val="375"/>
          <w:jc w:val="center"/>
        </w:trPr>
        <w:tc>
          <w:tcPr>
            <w:tcW w:w="1400" w:type="dxa"/>
            <w:vMerge/>
            <w:vAlign w:val="center"/>
            <w:hideMark/>
          </w:tcPr>
          <w:p w14:paraId="2E1B875D" w14:textId="77777777" w:rsidR="007B16A6" w:rsidRPr="00F025B4" w:rsidRDefault="007B16A6" w:rsidP="0024441A">
            <w:pPr>
              <w:rPr>
                <w:color w:val="000000"/>
                <w:sz w:val="22"/>
                <w:szCs w:val="22"/>
                <w:lang w:val="en-GB" w:eastAsia="es-ES"/>
              </w:rPr>
            </w:pPr>
          </w:p>
        </w:tc>
        <w:tc>
          <w:tcPr>
            <w:tcW w:w="2080" w:type="dxa"/>
            <w:vAlign w:val="center"/>
            <w:hideMark/>
          </w:tcPr>
          <w:p w14:paraId="7124D7D8" w14:textId="77777777" w:rsidR="007B16A6" w:rsidRPr="00F025B4" w:rsidRDefault="007B16A6" w:rsidP="0024441A">
            <w:pPr>
              <w:jc w:val="center"/>
              <w:rPr>
                <w:color w:val="000000"/>
                <w:sz w:val="22"/>
                <w:szCs w:val="22"/>
                <w:lang w:val="en-GB" w:eastAsia="es-ES"/>
              </w:rPr>
            </w:pPr>
            <w:r>
              <w:rPr>
                <w:color w:val="000000"/>
                <w:sz w:val="22"/>
                <w:szCs w:val="22"/>
                <w:lang w:val="en-GB" w:eastAsia="es-ES"/>
              </w:rPr>
              <w:t>Passing-Bablok</w:t>
            </w:r>
          </w:p>
        </w:tc>
        <w:tc>
          <w:tcPr>
            <w:tcW w:w="2500" w:type="dxa"/>
            <w:vAlign w:val="center"/>
            <w:hideMark/>
          </w:tcPr>
          <w:p w14:paraId="2D796A3D" w14:textId="27978B20" w:rsidR="007B16A6" w:rsidRPr="00F025B4" w:rsidRDefault="007B16A6" w:rsidP="0024441A">
            <w:pPr>
              <w:jc w:val="center"/>
              <w:rPr>
                <w:color w:val="000000"/>
                <w:sz w:val="22"/>
                <w:szCs w:val="22"/>
                <w:lang w:val="en-GB" w:eastAsia="es-ES"/>
              </w:rPr>
            </w:pPr>
            <w:r>
              <w:rPr>
                <w:color w:val="000000"/>
                <w:sz w:val="22"/>
                <w:szCs w:val="22"/>
                <w:lang w:val="en-GB" w:eastAsia="es-ES"/>
              </w:rPr>
              <w:t>-0.160 (-0.405, 0.007)</w:t>
            </w:r>
          </w:p>
        </w:tc>
        <w:tc>
          <w:tcPr>
            <w:tcW w:w="2500" w:type="dxa"/>
            <w:vAlign w:val="center"/>
            <w:hideMark/>
          </w:tcPr>
          <w:p w14:paraId="25ED67E0" w14:textId="452F42F5" w:rsidR="007B16A6" w:rsidRPr="00F025B4" w:rsidRDefault="007B16A6" w:rsidP="0024441A">
            <w:pPr>
              <w:jc w:val="center"/>
              <w:rPr>
                <w:color w:val="000000"/>
                <w:sz w:val="22"/>
                <w:szCs w:val="22"/>
                <w:lang w:val="en-GB" w:eastAsia="es-ES"/>
              </w:rPr>
            </w:pPr>
            <w:r>
              <w:rPr>
                <w:color w:val="000000"/>
                <w:sz w:val="22"/>
                <w:szCs w:val="22"/>
                <w:lang w:val="en-GB" w:eastAsia="es-ES"/>
              </w:rPr>
              <w:t>1.059 (0.985, 1.153)</w:t>
            </w:r>
          </w:p>
        </w:tc>
        <w:tc>
          <w:tcPr>
            <w:tcW w:w="2500" w:type="dxa"/>
            <w:vAlign w:val="center"/>
            <w:hideMark/>
          </w:tcPr>
          <w:p w14:paraId="1FB6BB51" w14:textId="752B17D2" w:rsidR="007B16A6" w:rsidRPr="00F025B4" w:rsidRDefault="007B16A6" w:rsidP="0024441A">
            <w:pPr>
              <w:jc w:val="center"/>
              <w:rPr>
                <w:color w:val="000000"/>
                <w:sz w:val="22"/>
                <w:szCs w:val="22"/>
                <w:lang w:val="en-GB" w:eastAsia="es-ES"/>
              </w:rPr>
            </w:pPr>
            <w:r>
              <w:rPr>
                <w:color w:val="000000"/>
                <w:sz w:val="22"/>
                <w:szCs w:val="22"/>
                <w:lang w:val="en-GB" w:eastAsia="es-ES"/>
              </w:rPr>
              <w:t>-0.160 (-0.388, 0.004)</w:t>
            </w:r>
          </w:p>
        </w:tc>
        <w:tc>
          <w:tcPr>
            <w:tcW w:w="2500" w:type="dxa"/>
            <w:vAlign w:val="center"/>
            <w:hideMark/>
          </w:tcPr>
          <w:p w14:paraId="403CDC15" w14:textId="7FE2C7A4" w:rsidR="007B16A6" w:rsidRPr="00F025B4" w:rsidRDefault="007B16A6" w:rsidP="0024441A">
            <w:pPr>
              <w:jc w:val="center"/>
              <w:rPr>
                <w:color w:val="000000"/>
                <w:sz w:val="22"/>
                <w:szCs w:val="22"/>
                <w:lang w:val="en-GB" w:eastAsia="es-ES"/>
              </w:rPr>
            </w:pPr>
            <w:r>
              <w:rPr>
                <w:color w:val="000000"/>
                <w:sz w:val="22"/>
                <w:szCs w:val="22"/>
                <w:lang w:val="en-GB" w:eastAsia="es-ES"/>
              </w:rPr>
              <w:t>1.058 (0.986, 1.150)</w:t>
            </w:r>
          </w:p>
        </w:tc>
      </w:tr>
      <w:tr w:rsidR="007B16A6" w:rsidRPr="00F025B4" w14:paraId="0E33EC49" w14:textId="77777777" w:rsidTr="0024441A">
        <w:trPr>
          <w:trHeight w:val="375"/>
          <w:jc w:val="center"/>
        </w:trPr>
        <w:tc>
          <w:tcPr>
            <w:tcW w:w="1400" w:type="dxa"/>
            <w:vMerge w:val="restart"/>
            <w:vAlign w:val="center"/>
            <w:hideMark/>
          </w:tcPr>
          <w:p w14:paraId="54BE2DE3" w14:textId="77777777" w:rsidR="007B16A6" w:rsidRPr="00F025B4" w:rsidRDefault="007B16A6" w:rsidP="0024441A">
            <w:pPr>
              <w:jc w:val="center"/>
              <w:rPr>
                <w:color w:val="000000"/>
                <w:sz w:val="22"/>
                <w:szCs w:val="22"/>
                <w:lang w:val="en-GB" w:eastAsia="es-ES"/>
              </w:rPr>
            </w:pPr>
            <w:r>
              <w:rPr>
                <w:color w:val="000000"/>
                <w:sz w:val="22"/>
                <w:szCs w:val="22"/>
                <w:lang w:val="en-GB" w:eastAsia="es-ES"/>
              </w:rPr>
              <w:t>Intermediate</w:t>
            </w:r>
          </w:p>
        </w:tc>
        <w:tc>
          <w:tcPr>
            <w:tcW w:w="2080" w:type="dxa"/>
            <w:vAlign w:val="center"/>
            <w:hideMark/>
          </w:tcPr>
          <w:p w14:paraId="1EF350EF" w14:textId="77777777" w:rsidR="007B16A6" w:rsidRPr="00F025B4" w:rsidRDefault="007B16A6" w:rsidP="0024441A">
            <w:pPr>
              <w:jc w:val="center"/>
              <w:rPr>
                <w:color w:val="000000"/>
                <w:sz w:val="22"/>
                <w:szCs w:val="22"/>
                <w:lang w:val="en-GB" w:eastAsia="es-ES"/>
              </w:rPr>
            </w:pPr>
            <w:r>
              <w:rPr>
                <w:color w:val="000000"/>
                <w:sz w:val="22"/>
                <w:szCs w:val="22"/>
                <w:lang w:val="en-GB" w:eastAsia="es-ES"/>
              </w:rPr>
              <w:t>Deming</w:t>
            </w:r>
          </w:p>
        </w:tc>
        <w:tc>
          <w:tcPr>
            <w:tcW w:w="2500" w:type="dxa"/>
            <w:vAlign w:val="center"/>
            <w:hideMark/>
          </w:tcPr>
          <w:p w14:paraId="7774A7C7" w14:textId="7D7AF958" w:rsidR="007B16A6" w:rsidRPr="00F025B4" w:rsidRDefault="007B16A6" w:rsidP="0024441A">
            <w:pPr>
              <w:jc w:val="center"/>
              <w:rPr>
                <w:color w:val="000000"/>
                <w:sz w:val="22"/>
                <w:szCs w:val="22"/>
                <w:lang w:val="en-GB" w:eastAsia="es-ES"/>
              </w:rPr>
            </w:pPr>
            <w:r>
              <w:rPr>
                <w:color w:val="000000"/>
                <w:sz w:val="22"/>
                <w:szCs w:val="22"/>
                <w:lang w:val="en-GB" w:eastAsia="es-ES"/>
              </w:rPr>
              <w:t>-0.064 (-0.166, 0.047)</w:t>
            </w:r>
          </w:p>
        </w:tc>
        <w:tc>
          <w:tcPr>
            <w:tcW w:w="2500" w:type="dxa"/>
            <w:vAlign w:val="center"/>
            <w:hideMark/>
          </w:tcPr>
          <w:p w14:paraId="51557E05" w14:textId="5D914FAD" w:rsidR="007B16A6" w:rsidRPr="00F025B4" w:rsidRDefault="007B16A6" w:rsidP="0024441A">
            <w:pPr>
              <w:jc w:val="center"/>
              <w:rPr>
                <w:color w:val="000000"/>
                <w:sz w:val="22"/>
                <w:szCs w:val="22"/>
                <w:lang w:val="en-GB" w:eastAsia="es-ES"/>
              </w:rPr>
            </w:pPr>
            <w:r>
              <w:rPr>
                <w:color w:val="000000"/>
                <w:sz w:val="22"/>
                <w:szCs w:val="22"/>
                <w:lang w:val="en-GB" w:eastAsia="es-ES"/>
              </w:rPr>
              <w:t>1.012 (0.960, 1.057)</w:t>
            </w:r>
          </w:p>
        </w:tc>
        <w:tc>
          <w:tcPr>
            <w:tcW w:w="2500" w:type="dxa"/>
            <w:vAlign w:val="center"/>
            <w:hideMark/>
          </w:tcPr>
          <w:p w14:paraId="57D0620D" w14:textId="1F41A902" w:rsidR="007B16A6" w:rsidRPr="00F025B4" w:rsidRDefault="007B16A6" w:rsidP="0024441A">
            <w:pPr>
              <w:jc w:val="center"/>
              <w:rPr>
                <w:color w:val="000000"/>
                <w:sz w:val="22"/>
                <w:szCs w:val="22"/>
                <w:lang w:val="en-GB" w:eastAsia="es-ES"/>
              </w:rPr>
            </w:pPr>
            <w:r>
              <w:rPr>
                <w:color w:val="000000"/>
                <w:sz w:val="22"/>
                <w:szCs w:val="22"/>
                <w:lang w:val="en-GB" w:eastAsia="es-ES"/>
              </w:rPr>
              <w:t>-0.064 (-0.163, 0.051)</w:t>
            </w:r>
          </w:p>
        </w:tc>
        <w:tc>
          <w:tcPr>
            <w:tcW w:w="2500" w:type="dxa"/>
            <w:vAlign w:val="center"/>
            <w:hideMark/>
          </w:tcPr>
          <w:p w14:paraId="704E7D90" w14:textId="33013FD4" w:rsidR="007B16A6" w:rsidRPr="00F025B4" w:rsidRDefault="007B16A6" w:rsidP="0024441A">
            <w:pPr>
              <w:jc w:val="center"/>
              <w:rPr>
                <w:color w:val="000000"/>
                <w:sz w:val="22"/>
                <w:szCs w:val="22"/>
                <w:lang w:val="en-GB" w:eastAsia="es-ES"/>
              </w:rPr>
            </w:pPr>
            <w:r>
              <w:rPr>
                <w:color w:val="000000"/>
                <w:sz w:val="22"/>
                <w:szCs w:val="22"/>
                <w:lang w:val="en-GB" w:eastAsia="es-ES"/>
              </w:rPr>
              <w:t>1.012 (0.960, 1.057)</w:t>
            </w:r>
          </w:p>
        </w:tc>
      </w:tr>
      <w:tr w:rsidR="007B16A6" w:rsidRPr="00F025B4" w14:paraId="006F1915" w14:textId="77777777" w:rsidTr="0024441A">
        <w:trPr>
          <w:trHeight w:val="375"/>
          <w:jc w:val="center"/>
        </w:trPr>
        <w:tc>
          <w:tcPr>
            <w:tcW w:w="1400" w:type="dxa"/>
            <w:vMerge/>
            <w:vAlign w:val="center"/>
            <w:hideMark/>
          </w:tcPr>
          <w:p w14:paraId="78FC6071" w14:textId="77777777" w:rsidR="007B16A6" w:rsidRPr="00F025B4" w:rsidRDefault="007B16A6" w:rsidP="0024441A">
            <w:pPr>
              <w:rPr>
                <w:color w:val="000000"/>
                <w:sz w:val="22"/>
                <w:szCs w:val="22"/>
                <w:lang w:val="en-GB" w:eastAsia="es-ES"/>
              </w:rPr>
            </w:pPr>
          </w:p>
        </w:tc>
        <w:tc>
          <w:tcPr>
            <w:tcW w:w="2080" w:type="dxa"/>
            <w:vAlign w:val="center"/>
            <w:hideMark/>
          </w:tcPr>
          <w:p w14:paraId="050CCA89" w14:textId="77777777" w:rsidR="007B16A6" w:rsidRPr="00F025B4" w:rsidRDefault="007B16A6" w:rsidP="0024441A">
            <w:pPr>
              <w:jc w:val="center"/>
              <w:rPr>
                <w:color w:val="000000"/>
                <w:sz w:val="22"/>
                <w:szCs w:val="22"/>
                <w:lang w:val="en-GB" w:eastAsia="es-ES"/>
              </w:rPr>
            </w:pPr>
            <w:r>
              <w:rPr>
                <w:color w:val="000000"/>
                <w:sz w:val="22"/>
                <w:szCs w:val="22"/>
                <w:lang w:val="en-GB" w:eastAsia="es-ES"/>
              </w:rPr>
              <w:t>Passing-Bablok</w:t>
            </w:r>
          </w:p>
        </w:tc>
        <w:tc>
          <w:tcPr>
            <w:tcW w:w="2500" w:type="dxa"/>
            <w:vAlign w:val="center"/>
            <w:hideMark/>
          </w:tcPr>
          <w:p w14:paraId="56C2AA6E" w14:textId="761D41AF" w:rsidR="007B16A6" w:rsidRPr="00F025B4" w:rsidRDefault="007B16A6" w:rsidP="0024441A">
            <w:pPr>
              <w:jc w:val="center"/>
              <w:rPr>
                <w:color w:val="000000"/>
                <w:sz w:val="22"/>
                <w:szCs w:val="22"/>
                <w:lang w:val="en-GB" w:eastAsia="es-ES"/>
              </w:rPr>
            </w:pPr>
            <w:r>
              <w:rPr>
                <w:color w:val="000000"/>
                <w:sz w:val="22"/>
                <w:szCs w:val="22"/>
                <w:lang w:val="en-GB" w:eastAsia="es-ES"/>
              </w:rPr>
              <w:t>-0.095 (-0.181, 0.021)</w:t>
            </w:r>
          </w:p>
        </w:tc>
        <w:tc>
          <w:tcPr>
            <w:tcW w:w="2500" w:type="dxa"/>
            <w:vAlign w:val="center"/>
            <w:hideMark/>
          </w:tcPr>
          <w:p w14:paraId="051134CD" w14:textId="169DD0BC" w:rsidR="007B16A6" w:rsidRPr="00F025B4" w:rsidRDefault="007B16A6" w:rsidP="0024441A">
            <w:pPr>
              <w:jc w:val="center"/>
              <w:rPr>
                <w:color w:val="000000"/>
                <w:sz w:val="22"/>
                <w:szCs w:val="22"/>
                <w:lang w:val="en-GB" w:eastAsia="es-ES"/>
              </w:rPr>
            </w:pPr>
            <w:r>
              <w:rPr>
                <w:color w:val="000000"/>
                <w:sz w:val="22"/>
                <w:szCs w:val="22"/>
                <w:lang w:val="en-GB" w:eastAsia="es-ES"/>
              </w:rPr>
              <w:t>1.027 (0.975, 1.062)</w:t>
            </w:r>
          </w:p>
        </w:tc>
        <w:tc>
          <w:tcPr>
            <w:tcW w:w="2500" w:type="dxa"/>
            <w:vAlign w:val="center"/>
            <w:hideMark/>
          </w:tcPr>
          <w:p w14:paraId="00235319" w14:textId="6BD9655C" w:rsidR="007B16A6" w:rsidRPr="00F025B4" w:rsidRDefault="007B16A6" w:rsidP="0024441A">
            <w:pPr>
              <w:jc w:val="center"/>
              <w:rPr>
                <w:color w:val="000000"/>
                <w:sz w:val="22"/>
                <w:szCs w:val="22"/>
                <w:lang w:val="en-GB" w:eastAsia="es-ES"/>
              </w:rPr>
            </w:pPr>
            <w:r>
              <w:rPr>
                <w:color w:val="000000"/>
                <w:sz w:val="22"/>
                <w:szCs w:val="22"/>
                <w:lang w:val="en-GB" w:eastAsia="es-ES"/>
              </w:rPr>
              <w:t>-0.095 (-0.182, -0.023)</w:t>
            </w:r>
          </w:p>
        </w:tc>
        <w:tc>
          <w:tcPr>
            <w:tcW w:w="2500" w:type="dxa"/>
            <w:vAlign w:val="center"/>
            <w:hideMark/>
          </w:tcPr>
          <w:p w14:paraId="6637A984" w14:textId="11A0DCB0" w:rsidR="007B16A6" w:rsidRPr="00F025B4" w:rsidRDefault="007B16A6" w:rsidP="0024441A">
            <w:pPr>
              <w:jc w:val="center"/>
              <w:rPr>
                <w:color w:val="000000"/>
                <w:sz w:val="22"/>
                <w:szCs w:val="22"/>
                <w:lang w:val="en-GB" w:eastAsia="es-ES"/>
              </w:rPr>
            </w:pPr>
            <w:r>
              <w:rPr>
                <w:color w:val="000000"/>
                <w:sz w:val="22"/>
                <w:szCs w:val="22"/>
                <w:lang w:val="en-GB" w:eastAsia="es-ES"/>
              </w:rPr>
              <w:t>1.027 (0.978, 1.065)</w:t>
            </w:r>
          </w:p>
        </w:tc>
      </w:tr>
      <w:tr w:rsidR="007B16A6" w:rsidRPr="00F025B4" w14:paraId="5F460768" w14:textId="77777777" w:rsidTr="0024441A">
        <w:trPr>
          <w:trHeight w:val="375"/>
          <w:jc w:val="center"/>
        </w:trPr>
        <w:tc>
          <w:tcPr>
            <w:tcW w:w="1400" w:type="dxa"/>
            <w:vMerge w:val="restart"/>
            <w:vAlign w:val="center"/>
            <w:hideMark/>
          </w:tcPr>
          <w:p w14:paraId="4121DA40" w14:textId="77777777" w:rsidR="007B16A6" w:rsidRPr="00F025B4" w:rsidRDefault="007B16A6" w:rsidP="0024441A">
            <w:pPr>
              <w:jc w:val="center"/>
              <w:rPr>
                <w:color w:val="000000"/>
                <w:sz w:val="22"/>
                <w:szCs w:val="22"/>
                <w:lang w:val="en-GB" w:eastAsia="es-ES"/>
              </w:rPr>
            </w:pPr>
            <w:r>
              <w:rPr>
                <w:color w:val="000000"/>
                <w:sz w:val="22"/>
                <w:szCs w:val="22"/>
                <w:lang w:val="en-GB" w:eastAsia="es-ES"/>
              </w:rPr>
              <w:t>Global</w:t>
            </w:r>
          </w:p>
        </w:tc>
        <w:tc>
          <w:tcPr>
            <w:tcW w:w="2080" w:type="dxa"/>
            <w:vAlign w:val="center"/>
            <w:hideMark/>
          </w:tcPr>
          <w:p w14:paraId="4ABE95C1" w14:textId="77777777" w:rsidR="007B16A6" w:rsidRPr="00F025B4" w:rsidRDefault="007B16A6" w:rsidP="0024441A">
            <w:pPr>
              <w:jc w:val="center"/>
              <w:rPr>
                <w:color w:val="000000"/>
                <w:sz w:val="22"/>
                <w:szCs w:val="22"/>
                <w:lang w:val="en-GB" w:eastAsia="es-ES"/>
              </w:rPr>
            </w:pPr>
            <w:r>
              <w:rPr>
                <w:color w:val="000000"/>
                <w:sz w:val="22"/>
                <w:szCs w:val="22"/>
                <w:lang w:val="en-GB" w:eastAsia="es-ES"/>
              </w:rPr>
              <w:t>Deming</w:t>
            </w:r>
          </w:p>
        </w:tc>
        <w:tc>
          <w:tcPr>
            <w:tcW w:w="2500" w:type="dxa"/>
            <w:vAlign w:val="center"/>
            <w:hideMark/>
          </w:tcPr>
          <w:p w14:paraId="0C83DD84" w14:textId="77777777" w:rsidR="007B16A6" w:rsidRPr="00F025B4" w:rsidRDefault="007B16A6" w:rsidP="0024441A">
            <w:pPr>
              <w:jc w:val="center"/>
              <w:rPr>
                <w:color w:val="000000"/>
                <w:sz w:val="22"/>
                <w:szCs w:val="22"/>
                <w:lang w:val="en-GB" w:eastAsia="es-ES"/>
              </w:rPr>
            </w:pPr>
            <w:r>
              <w:rPr>
                <w:color w:val="000000"/>
                <w:sz w:val="22"/>
                <w:szCs w:val="22"/>
                <w:lang w:val="en-GB" w:eastAsia="es-ES"/>
              </w:rPr>
              <w:t>-0.173 (-0.312, -0.062)</w:t>
            </w:r>
          </w:p>
        </w:tc>
        <w:tc>
          <w:tcPr>
            <w:tcW w:w="2500" w:type="dxa"/>
            <w:vAlign w:val="center"/>
            <w:hideMark/>
          </w:tcPr>
          <w:p w14:paraId="39D5C09C" w14:textId="77777777" w:rsidR="007B16A6" w:rsidRPr="00F025B4" w:rsidRDefault="007B16A6" w:rsidP="0024441A">
            <w:pPr>
              <w:jc w:val="center"/>
              <w:rPr>
                <w:color w:val="000000"/>
                <w:sz w:val="22"/>
                <w:szCs w:val="22"/>
                <w:lang w:val="en-GB" w:eastAsia="es-ES"/>
              </w:rPr>
            </w:pPr>
            <w:r>
              <w:rPr>
                <w:color w:val="000000"/>
                <w:sz w:val="22"/>
                <w:szCs w:val="22"/>
                <w:lang w:val="en-GB" w:eastAsia="es-ES"/>
              </w:rPr>
              <w:t>1.050 (1.003, 1.105)</w:t>
            </w:r>
          </w:p>
        </w:tc>
        <w:tc>
          <w:tcPr>
            <w:tcW w:w="2500" w:type="dxa"/>
            <w:vAlign w:val="center"/>
            <w:hideMark/>
          </w:tcPr>
          <w:p w14:paraId="584AE83A" w14:textId="20B184AA" w:rsidR="007B16A6" w:rsidRPr="00F025B4" w:rsidRDefault="007B16A6" w:rsidP="0024441A">
            <w:pPr>
              <w:jc w:val="center"/>
              <w:rPr>
                <w:color w:val="000000"/>
                <w:sz w:val="22"/>
                <w:szCs w:val="22"/>
                <w:lang w:val="en-GB" w:eastAsia="es-ES"/>
              </w:rPr>
            </w:pPr>
            <w:r>
              <w:rPr>
                <w:color w:val="000000"/>
                <w:sz w:val="22"/>
                <w:szCs w:val="22"/>
                <w:lang w:val="en-GB" w:eastAsia="es-ES"/>
              </w:rPr>
              <w:t>-0.173(-0.301, -0.056)</w:t>
            </w:r>
          </w:p>
        </w:tc>
        <w:tc>
          <w:tcPr>
            <w:tcW w:w="2500" w:type="dxa"/>
            <w:vAlign w:val="center"/>
            <w:hideMark/>
          </w:tcPr>
          <w:p w14:paraId="4CBBE4D1" w14:textId="4DE6798E" w:rsidR="007B16A6" w:rsidRPr="00F025B4" w:rsidRDefault="007B16A6" w:rsidP="0024441A">
            <w:pPr>
              <w:jc w:val="center"/>
              <w:rPr>
                <w:color w:val="000000"/>
                <w:sz w:val="22"/>
                <w:szCs w:val="22"/>
                <w:lang w:val="en-GB" w:eastAsia="es-ES"/>
              </w:rPr>
            </w:pPr>
            <w:r>
              <w:rPr>
                <w:color w:val="000000"/>
                <w:sz w:val="22"/>
                <w:szCs w:val="22"/>
                <w:lang w:val="en-GB" w:eastAsia="es-ES"/>
              </w:rPr>
              <w:t>1.050 (1.003, 1.104)</w:t>
            </w:r>
          </w:p>
        </w:tc>
      </w:tr>
      <w:tr w:rsidR="007B16A6" w:rsidRPr="00F025B4" w14:paraId="72DA8AB6" w14:textId="77777777" w:rsidTr="0024441A">
        <w:trPr>
          <w:trHeight w:val="375"/>
          <w:jc w:val="center"/>
        </w:trPr>
        <w:tc>
          <w:tcPr>
            <w:tcW w:w="1400" w:type="dxa"/>
            <w:vMerge/>
            <w:tcBorders>
              <w:bottom w:val="single" w:sz="4" w:space="0" w:color="auto"/>
            </w:tcBorders>
            <w:vAlign w:val="center"/>
            <w:hideMark/>
          </w:tcPr>
          <w:p w14:paraId="1C9706B0" w14:textId="77777777" w:rsidR="007B16A6" w:rsidRPr="00F025B4" w:rsidRDefault="007B16A6" w:rsidP="0024441A">
            <w:pPr>
              <w:rPr>
                <w:color w:val="000000"/>
                <w:sz w:val="22"/>
                <w:szCs w:val="22"/>
                <w:lang w:val="en-GB" w:eastAsia="es-ES"/>
              </w:rPr>
            </w:pPr>
          </w:p>
        </w:tc>
        <w:tc>
          <w:tcPr>
            <w:tcW w:w="2080" w:type="dxa"/>
            <w:tcBorders>
              <w:bottom w:val="single" w:sz="4" w:space="0" w:color="auto"/>
            </w:tcBorders>
            <w:vAlign w:val="center"/>
            <w:hideMark/>
          </w:tcPr>
          <w:p w14:paraId="68E8429C" w14:textId="77777777" w:rsidR="007B16A6" w:rsidRPr="00F025B4" w:rsidRDefault="007B16A6" w:rsidP="0024441A">
            <w:pPr>
              <w:jc w:val="center"/>
              <w:rPr>
                <w:color w:val="000000"/>
                <w:sz w:val="22"/>
                <w:szCs w:val="22"/>
                <w:lang w:val="en-GB" w:eastAsia="es-ES"/>
              </w:rPr>
            </w:pPr>
            <w:r>
              <w:rPr>
                <w:color w:val="000000"/>
                <w:sz w:val="22"/>
                <w:szCs w:val="22"/>
                <w:lang w:val="en-GB" w:eastAsia="es-ES"/>
              </w:rPr>
              <w:t>Passing-Bablok</w:t>
            </w:r>
          </w:p>
        </w:tc>
        <w:tc>
          <w:tcPr>
            <w:tcW w:w="2500" w:type="dxa"/>
            <w:tcBorders>
              <w:bottom w:val="single" w:sz="4" w:space="0" w:color="auto"/>
            </w:tcBorders>
            <w:vAlign w:val="center"/>
            <w:hideMark/>
          </w:tcPr>
          <w:p w14:paraId="31504F1D" w14:textId="2FE0579B" w:rsidR="007B16A6" w:rsidRPr="00F025B4" w:rsidRDefault="007B16A6" w:rsidP="0024441A">
            <w:pPr>
              <w:jc w:val="center"/>
              <w:rPr>
                <w:color w:val="000000"/>
                <w:sz w:val="22"/>
                <w:szCs w:val="22"/>
                <w:lang w:val="en-GB" w:eastAsia="es-ES"/>
              </w:rPr>
            </w:pPr>
            <w:r>
              <w:rPr>
                <w:color w:val="000000"/>
                <w:sz w:val="22"/>
                <w:szCs w:val="22"/>
                <w:lang w:val="en-GB" w:eastAsia="es-ES"/>
              </w:rPr>
              <w:t>-0.165 (-0.272, -0.069)</w:t>
            </w:r>
          </w:p>
        </w:tc>
        <w:tc>
          <w:tcPr>
            <w:tcW w:w="2500" w:type="dxa"/>
            <w:tcBorders>
              <w:bottom w:val="single" w:sz="4" w:space="0" w:color="auto"/>
            </w:tcBorders>
            <w:vAlign w:val="center"/>
            <w:hideMark/>
          </w:tcPr>
          <w:p w14:paraId="70F7C959" w14:textId="6E1B7BC8" w:rsidR="007B16A6" w:rsidRPr="00F025B4" w:rsidRDefault="007B16A6" w:rsidP="0024441A">
            <w:pPr>
              <w:jc w:val="center"/>
              <w:rPr>
                <w:color w:val="000000"/>
                <w:sz w:val="22"/>
                <w:szCs w:val="22"/>
                <w:lang w:val="en-GB" w:eastAsia="es-ES"/>
              </w:rPr>
            </w:pPr>
            <w:r>
              <w:rPr>
                <w:color w:val="000000"/>
                <w:sz w:val="22"/>
                <w:szCs w:val="22"/>
                <w:lang w:val="en-GB" w:eastAsia="es-ES"/>
              </w:rPr>
              <w:t>1.054 (1.012, 1.097)</w:t>
            </w:r>
          </w:p>
        </w:tc>
        <w:tc>
          <w:tcPr>
            <w:tcW w:w="2500" w:type="dxa"/>
            <w:tcBorders>
              <w:bottom w:val="single" w:sz="4" w:space="0" w:color="auto"/>
            </w:tcBorders>
            <w:vAlign w:val="center"/>
            <w:hideMark/>
          </w:tcPr>
          <w:p w14:paraId="6CF455EA" w14:textId="37558E90" w:rsidR="007B16A6" w:rsidRPr="00F025B4" w:rsidRDefault="007B16A6" w:rsidP="0024441A">
            <w:pPr>
              <w:jc w:val="center"/>
              <w:rPr>
                <w:color w:val="000000"/>
                <w:sz w:val="22"/>
                <w:szCs w:val="22"/>
                <w:lang w:val="en-GB" w:eastAsia="es-ES"/>
              </w:rPr>
            </w:pPr>
            <w:r>
              <w:rPr>
                <w:color w:val="000000"/>
                <w:sz w:val="22"/>
                <w:szCs w:val="22"/>
                <w:lang w:val="en-GB" w:eastAsia="es-ES"/>
              </w:rPr>
              <w:t>-0.165 (-0.281, -0.070)</w:t>
            </w:r>
          </w:p>
        </w:tc>
        <w:tc>
          <w:tcPr>
            <w:tcW w:w="2500" w:type="dxa"/>
            <w:tcBorders>
              <w:bottom w:val="single" w:sz="4" w:space="0" w:color="auto"/>
            </w:tcBorders>
            <w:vAlign w:val="center"/>
            <w:hideMark/>
          </w:tcPr>
          <w:p w14:paraId="7490D223" w14:textId="059696C6" w:rsidR="007B16A6" w:rsidRPr="00F025B4" w:rsidRDefault="007B16A6" w:rsidP="0024441A">
            <w:pPr>
              <w:jc w:val="center"/>
              <w:rPr>
                <w:color w:val="000000"/>
                <w:sz w:val="22"/>
                <w:szCs w:val="22"/>
                <w:lang w:val="en-GB" w:eastAsia="es-ES"/>
              </w:rPr>
            </w:pPr>
            <w:r>
              <w:rPr>
                <w:color w:val="000000"/>
                <w:sz w:val="22"/>
                <w:szCs w:val="22"/>
                <w:lang w:val="en-GB" w:eastAsia="es-ES"/>
              </w:rPr>
              <w:t>1.054 (1.012, 1.099)</w:t>
            </w:r>
          </w:p>
        </w:tc>
      </w:tr>
    </w:tbl>
    <w:p w14:paraId="7AEDEF38" w14:textId="77777777" w:rsidR="00667D4A" w:rsidRPr="007E4EDA" w:rsidRDefault="00667D4A" w:rsidP="00667D4A">
      <w:pPr>
        <w:rPr>
          <w:lang w:val="en-GB"/>
        </w:rPr>
      </w:pPr>
    </w:p>
    <w:p w14:paraId="14FF1FDF" w14:textId="77777777" w:rsidR="00667D4A" w:rsidRPr="007E4EDA" w:rsidRDefault="00667D4A" w:rsidP="00667D4A">
      <w:pPr>
        <w:spacing w:after="80" w:line="360" w:lineRule="auto"/>
        <w:rPr>
          <w:lang w:val="en-GB"/>
        </w:rPr>
      </w:pPr>
      <w:r>
        <w:rPr>
          <w:lang w:val="en-GB"/>
        </w:rPr>
        <w:br w:type="page"/>
      </w:r>
    </w:p>
    <w:p w14:paraId="57061B26" w14:textId="3273A2C5" w:rsidR="00667D4A" w:rsidRPr="007E4EDA" w:rsidRDefault="00667D4A" w:rsidP="00667D4A">
      <w:pPr>
        <w:spacing w:after="120" w:line="360" w:lineRule="auto"/>
        <w:jc w:val="both"/>
        <w:rPr>
          <w:sz w:val="24"/>
          <w:szCs w:val="24"/>
          <w:lang w:val="en-GB"/>
        </w:rPr>
      </w:pPr>
      <w:r>
        <w:rPr>
          <w:b/>
          <w:bCs/>
          <w:sz w:val="24"/>
          <w:szCs w:val="24"/>
          <w:lang w:val="en-GB"/>
        </w:rPr>
        <w:lastRenderedPageBreak/>
        <w:t>Table 5.</w:t>
      </w:r>
      <w:r>
        <w:rPr>
          <w:sz w:val="24"/>
          <w:szCs w:val="24"/>
          <w:lang w:val="en-GB"/>
        </w:rPr>
        <w:t xml:space="preserve"> Limits of detection (LOD) and limits of quantification (LOQ) of the ENUMERA®-Coli100 method for </w:t>
      </w:r>
      <w:r>
        <w:rPr>
          <w:i/>
          <w:iCs/>
          <w:sz w:val="24"/>
          <w:szCs w:val="24"/>
          <w:lang w:val="en-GB"/>
        </w:rPr>
        <w:t>E. coli</w:t>
      </w:r>
      <w:r>
        <w:rPr>
          <w:sz w:val="24"/>
          <w:szCs w:val="24"/>
          <w:lang w:val="en-GB"/>
        </w:rPr>
        <w:t xml:space="preserve"> and total coliforms in the water matrices analysed, expressed as MPN/100 mL. Values were calculated according to ISO 16140-2 and ISO 13843.</w:t>
      </w:r>
    </w:p>
    <w:p w14:paraId="204C7399" w14:textId="77777777" w:rsidR="00667D4A" w:rsidRPr="007E4EDA" w:rsidRDefault="00667D4A" w:rsidP="00667D4A">
      <w:pPr>
        <w:spacing w:after="120" w:line="360" w:lineRule="auto"/>
        <w:jc w:val="both"/>
        <w:rPr>
          <w:sz w:val="24"/>
          <w:szCs w:val="24"/>
          <w:lang w:val="en-GB"/>
        </w:rPr>
      </w:pPr>
    </w:p>
    <w:tbl>
      <w:tblPr>
        <w:tblStyle w:val="Taulaambquadrcula1clara"/>
        <w:tblW w:w="68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2400"/>
        <w:gridCol w:w="1100"/>
        <w:gridCol w:w="1100"/>
        <w:gridCol w:w="1100"/>
        <w:gridCol w:w="1100"/>
      </w:tblGrid>
      <w:tr w:rsidR="00667D4A" w:rsidRPr="00F025B4" w14:paraId="04C8139B" w14:textId="77777777" w:rsidTr="002E002D">
        <w:trPr>
          <w:jc w:val="center"/>
        </w:trPr>
        <w:tc>
          <w:tcPr>
            <w:tcW w:w="2400" w:type="dxa"/>
            <w:tcBorders>
              <w:top w:val="single" w:sz="4" w:space="0" w:color="auto"/>
              <w:bottom w:val="single" w:sz="4" w:space="0" w:color="auto"/>
            </w:tcBorders>
          </w:tcPr>
          <w:p w14:paraId="2FFB728D" w14:textId="77777777" w:rsidR="00667D4A" w:rsidRPr="00F025B4" w:rsidRDefault="00667D4A" w:rsidP="00D669D7">
            <w:pPr>
              <w:jc w:val="center"/>
              <w:rPr>
                <w:sz w:val="22"/>
                <w:szCs w:val="22"/>
                <w:lang w:val="en-GB"/>
              </w:rPr>
            </w:pPr>
            <w:r>
              <w:rPr>
                <w:b/>
                <w:bCs/>
                <w:sz w:val="22"/>
                <w:szCs w:val="22"/>
                <w:lang w:val="en-GB"/>
              </w:rPr>
              <w:t>Matrix</w:t>
            </w:r>
          </w:p>
        </w:tc>
        <w:tc>
          <w:tcPr>
            <w:tcW w:w="2200" w:type="dxa"/>
            <w:gridSpan w:val="2"/>
            <w:tcBorders>
              <w:top w:val="single" w:sz="4" w:space="0" w:color="auto"/>
              <w:bottom w:val="single" w:sz="4" w:space="0" w:color="auto"/>
            </w:tcBorders>
          </w:tcPr>
          <w:p w14:paraId="7A2DF3FA" w14:textId="77777777" w:rsidR="002E002D" w:rsidRPr="00F025B4" w:rsidRDefault="00667D4A" w:rsidP="002E002D">
            <w:pPr>
              <w:jc w:val="center"/>
              <w:rPr>
                <w:b/>
                <w:bCs/>
                <w:i/>
                <w:iCs/>
                <w:sz w:val="22"/>
                <w:szCs w:val="22"/>
                <w:lang w:val="en-GB"/>
              </w:rPr>
            </w:pPr>
            <w:r>
              <w:rPr>
                <w:b/>
                <w:bCs/>
                <w:i/>
                <w:iCs/>
                <w:sz w:val="22"/>
                <w:szCs w:val="22"/>
                <w:lang w:val="en-GB"/>
              </w:rPr>
              <w:t>E. coli</w:t>
            </w:r>
          </w:p>
          <w:p w14:paraId="5ABF3C58" w14:textId="483A286F" w:rsidR="00667D4A" w:rsidRPr="00F025B4" w:rsidRDefault="00667D4A" w:rsidP="002E002D">
            <w:pPr>
              <w:jc w:val="center"/>
              <w:rPr>
                <w:sz w:val="22"/>
                <w:szCs w:val="22"/>
                <w:lang w:val="en-GB"/>
              </w:rPr>
            </w:pPr>
            <w:r>
              <w:rPr>
                <w:sz w:val="22"/>
                <w:szCs w:val="22"/>
                <w:lang w:val="en-GB"/>
              </w:rPr>
              <w:t>(MPN/100 mL)</w:t>
            </w:r>
          </w:p>
        </w:tc>
        <w:tc>
          <w:tcPr>
            <w:tcW w:w="2200" w:type="dxa"/>
            <w:gridSpan w:val="2"/>
            <w:tcBorders>
              <w:top w:val="single" w:sz="4" w:space="0" w:color="auto"/>
              <w:bottom w:val="single" w:sz="4" w:space="0" w:color="auto"/>
            </w:tcBorders>
          </w:tcPr>
          <w:p w14:paraId="757AD847" w14:textId="77777777" w:rsidR="00667D4A" w:rsidRPr="00F025B4" w:rsidRDefault="00667D4A" w:rsidP="00D669D7">
            <w:pPr>
              <w:jc w:val="center"/>
              <w:rPr>
                <w:sz w:val="22"/>
                <w:szCs w:val="22"/>
                <w:lang w:val="en-GB"/>
              </w:rPr>
            </w:pPr>
            <w:r>
              <w:rPr>
                <w:b/>
                <w:bCs/>
                <w:sz w:val="22"/>
                <w:szCs w:val="22"/>
                <w:lang w:val="en-GB"/>
              </w:rPr>
              <w:t>Total Coliforms</w:t>
            </w:r>
            <w:r>
              <w:rPr>
                <w:sz w:val="22"/>
                <w:szCs w:val="22"/>
                <w:lang w:val="en-GB"/>
              </w:rPr>
              <w:t xml:space="preserve"> (MPN/100 mL)</w:t>
            </w:r>
          </w:p>
        </w:tc>
      </w:tr>
      <w:tr w:rsidR="00667D4A" w:rsidRPr="00F025B4" w14:paraId="57308FA5" w14:textId="77777777" w:rsidTr="00D669D7">
        <w:trPr>
          <w:jc w:val="center"/>
        </w:trPr>
        <w:tc>
          <w:tcPr>
            <w:tcW w:w="2400" w:type="dxa"/>
            <w:tcBorders>
              <w:top w:val="single" w:sz="4" w:space="0" w:color="auto"/>
              <w:bottom w:val="single" w:sz="4" w:space="0" w:color="auto"/>
            </w:tcBorders>
          </w:tcPr>
          <w:p w14:paraId="0AA4E5DF" w14:textId="77777777" w:rsidR="00667D4A" w:rsidRPr="00F025B4" w:rsidRDefault="00667D4A" w:rsidP="00D669D7">
            <w:pPr>
              <w:jc w:val="center"/>
              <w:rPr>
                <w:sz w:val="22"/>
                <w:szCs w:val="22"/>
                <w:lang w:val="en-GB"/>
              </w:rPr>
            </w:pPr>
          </w:p>
        </w:tc>
        <w:tc>
          <w:tcPr>
            <w:tcW w:w="1100" w:type="dxa"/>
            <w:tcBorders>
              <w:top w:val="single" w:sz="4" w:space="0" w:color="auto"/>
              <w:bottom w:val="single" w:sz="4" w:space="0" w:color="auto"/>
            </w:tcBorders>
          </w:tcPr>
          <w:p w14:paraId="73135734" w14:textId="77777777" w:rsidR="00667D4A" w:rsidRPr="00F025B4" w:rsidRDefault="00667D4A" w:rsidP="00D669D7">
            <w:pPr>
              <w:jc w:val="center"/>
              <w:rPr>
                <w:sz w:val="22"/>
                <w:szCs w:val="22"/>
                <w:lang w:val="en-GB"/>
              </w:rPr>
            </w:pPr>
            <w:r>
              <w:rPr>
                <w:b/>
                <w:bCs/>
                <w:sz w:val="22"/>
                <w:szCs w:val="22"/>
                <w:lang w:val="en-GB"/>
              </w:rPr>
              <w:t>LOD</w:t>
            </w:r>
          </w:p>
        </w:tc>
        <w:tc>
          <w:tcPr>
            <w:tcW w:w="1100" w:type="dxa"/>
            <w:tcBorders>
              <w:top w:val="single" w:sz="4" w:space="0" w:color="auto"/>
              <w:bottom w:val="single" w:sz="4" w:space="0" w:color="auto"/>
            </w:tcBorders>
          </w:tcPr>
          <w:p w14:paraId="480552C3" w14:textId="77777777" w:rsidR="00667D4A" w:rsidRPr="00F025B4" w:rsidRDefault="00667D4A" w:rsidP="00D669D7">
            <w:pPr>
              <w:jc w:val="center"/>
              <w:rPr>
                <w:sz w:val="22"/>
                <w:szCs w:val="22"/>
                <w:lang w:val="en-GB"/>
              </w:rPr>
            </w:pPr>
            <w:r>
              <w:rPr>
                <w:b/>
                <w:bCs/>
                <w:sz w:val="22"/>
                <w:szCs w:val="22"/>
                <w:lang w:val="en-GB"/>
              </w:rPr>
              <w:t>LOQ</w:t>
            </w:r>
          </w:p>
        </w:tc>
        <w:tc>
          <w:tcPr>
            <w:tcW w:w="1100" w:type="dxa"/>
            <w:tcBorders>
              <w:top w:val="single" w:sz="4" w:space="0" w:color="auto"/>
              <w:bottom w:val="single" w:sz="4" w:space="0" w:color="auto"/>
            </w:tcBorders>
          </w:tcPr>
          <w:p w14:paraId="0F44D9D6" w14:textId="77777777" w:rsidR="00667D4A" w:rsidRPr="00F025B4" w:rsidRDefault="00667D4A" w:rsidP="00D669D7">
            <w:pPr>
              <w:jc w:val="center"/>
              <w:rPr>
                <w:sz w:val="22"/>
                <w:szCs w:val="22"/>
                <w:lang w:val="en-GB"/>
              </w:rPr>
            </w:pPr>
            <w:r>
              <w:rPr>
                <w:b/>
                <w:bCs/>
                <w:sz w:val="22"/>
                <w:szCs w:val="22"/>
                <w:lang w:val="en-GB"/>
              </w:rPr>
              <w:t>LOD</w:t>
            </w:r>
          </w:p>
        </w:tc>
        <w:tc>
          <w:tcPr>
            <w:tcW w:w="1100" w:type="dxa"/>
            <w:tcBorders>
              <w:top w:val="single" w:sz="4" w:space="0" w:color="auto"/>
              <w:bottom w:val="single" w:sz="4" w:space="0" w:color="auto"/>
            </w:tcBorders>
          </w:tcPr>
          <w:p w14:paraId="5F6595CC" w14:textId="77777777" w:rsidR="00667D4A" w:rsidRPr="00F025B4" w:rsidRDefault="00667D4A" w:rsidP="00D669D7">
            <w:pPr>
              <w:jc w:val="center"/>
              <w:rPr>
                <w:sz w:val="22"/>
                <w:szCs w:val="22"/>
                <w:lang w:val="en-GB"/>
              </w:rPr>
            </w:pPr>
            <w:r>
              <w:rPr>
                <w:b/>
                <w:bCs/>
                <w:sz w:val="22"/>
                <w:szCs w:val="22"/>
                <w:lang w:val="en-GB"/>
              </w:rPr>
              <w:t>LOQ</w:t>
            </w:r>
          </w:p>
        </w:tc>
      </w:tr>
      <w:tr w:rsidR="00667D4A" w:rsidRPr="00F025B4" w14:paraId="528C91BD" w14:textId="77777777" w:rsidTr="00D669D7">
        <w:trPr>
          <w:jc w:val="center"/>
        </w:trPr>
        <w:tc>
          <w:tcPr>
            <w:tcW w:w="2400" w:type="dxa"/>
            <w:tcBorders>
              <w:top w:val="single" w:sz="4" w:space="0" w:color="auto"/>
            </w:tcBorders>
          </w:tcPr>
          <w:p w14:paraId="7D03934A" w14:textId="77777777" w:rsidR="00667D4A" w:rsidRPr="00F025B4" w:rsidRDefault="00667D4A" w:rsidP="00D669D7">
            <w:pPr>
              <w:rPr>
                <w:sz w:val="22"/>
                <w:szCs w:val="22"/>
                <w:lang w:val="en-GB"/>
              </w:rPr>
            </w:pPr>
            <w:r>
              <w:rPr>
                <w:sz w:val="22"/>
                <w:szCs w:val="22"/>
                <w:lang w:val="en-GB"/>
              </w:rPr>
              <w:t>Drinking water</w:t>
            </w:r>
          </w:p>
        </w:tc>
        <w:tc>
          <w:tcPr>
            <w:tcW w:w="1100" w:type="dxa"/>
            <w:tcBorders>
              <w:top w:val="single" w:sz="4" w:space="0" w:color="auto"/>
            </w:tcBorders>
          </w:tcPr>
          <w:p w14:paraId="0D3682BC" w14:textId="77777777" w:rsidR="00667D4A" w:rsidRPr="00F025B4" w:rsidRDefault="00667D4A" w:rsidP="00D669D7">
            <w:pPr>
              <w:jc w:val="center"/>
              <w:rPr>
                <w:sz w:val="22"/>
                <w:szCs w:val="22"/>
                <w:lang w:val="en-GB"/>
              </w:rPr>
            </w:pPr>
            <w:r>
              <w:rPr>
                <w:sz w:val="22"/>
                <w:szCs w:val="22"/>
                <w:lang w:val="en-GB"/>
              </w:rPr>
              <w:t>1.6</w:t>
            </w:r>
          </w:p>
        </w:tc>
        <w:tc>
          <w:tcPr>
            <w:tcW w:w="1100" w:type="dxa"/>
            <w:tcBorders>
              <w:top w:val="single" w:sz="4" w:space="0" w:color="auto"/>
            </w:tcBorders>
          </w:tcPr>
          <w:p w14:paraId="7F421BB8" w14:textId="77777777" w:rsidR="00667D4A" w:rsidRPr="00F025B4" w:rsidRDefault="00667D4A" w:rsidP="00D669D7">
            <w:pPr>
              <w:jc w:val="center"/>
              <w:rPr>
                <w:sz w:val="22"/>
                <w:szCs w:val="22"/>
                <w:lang w:val="en-GB"/>
              </w:rPr>
            </w:pPr>
            <w:r>
              <w:rPr>
                <w:sz w:val="22"/>
                <w:szCs w:val="22"/>
                <w:lang w:val="en-GB"/>
              </w:rPr>
              <w:t>4.4</w:t>
            </w:r>
          </w:p>
        </w:tc>
        <w:tc>
          <w:tcPr>
            <w:tcW w:w="1100" w:type="dxa"/>
            <w:tcBorders>
              <w:top w:val="single" w:sz="4" w:space="0" w:color="auto"/>
            </w:tcBorders>
          </w:tcPr>
          <w:p w14:paraId="262E4F3E" w14:textId="77777777" w:rsidR="00667D4A" w:rsidRPr="00F025B4" w:rsidRDefault="00667D4A" w:rsidP="00D669D7">
            <w:pPr>
              <w:jc w:val="center"/>
              <w:rPr>
                <w:sz w:val="22"/>
                <w:szCs w:val="22"/>
                <w:lang w:val="en-GB"/>
              </w:rPr>
            </w:pPr>
            <w:r>
              <w:rPr>
                <w:sz w:val="22"/>
                <w:szCs w:val="22"/>
                <w:lang w:val="en-GB"/>
              </w:rPr>
              <w:t>1.8</w:t>
            </w:r>
          </w:p>
        </w:tc>
        <w:tc>
          <w:tcPr>
            <w:tcW w:w="1100" w:type="dxa"/>
            <w:tcBorders>
              <w:top w:val="single" w:sz="4" w:space="0" w:color="auto"/>
            </w:tcBorders>
          </w:tcPr>
          <w:p w14:paraId="59A2B87E" w14:textId="77777777" w:rsidR="00667D4A" w:rsidRPr="00F025B4" w:rsidRDefault="00667D4A" w:rsidP="00D669D7">
            <w:pPr>
              <w:jc w:val="center"/>
              <w:rPr>
                <w:sz w:val="22"/>
                <w:szCs w:val="22"/>
                <w:lang w:val="en-GB"/>
              </w:rPr>
            </w:pPr>
            <w:r>
              <w:rPr>
                <w:sz w:val="22"/>
                <w:szCs w:val="22"/>
                <w:lang w:val="en-GB"/>
              </w:rPr>
              <w:t>6.4</w:t>
            </w:r>
          </w:p>
        </w:tc>
      </w:tr>
      <w:tr w:rsidR="00667D4A" w:rsidRPr="00F025B4" w14:paraId="3B0CFE75" w14:textId="77777777" w:rsidTr="00D669D7">
        <w:trPr>
          <w:jc w:val="center"/>
        </w:trPr>
        <w:tc>
          <w:tcPr>
            <w:tcW w:w="2400" w:type="dxa"/>
          </w:tcPr>
          <w:p w14:paraId="75BFE2F0" w14:textId="77777777" w:rsidR="00667D4A" w:rsidRPr="00F025B4" w:rsidRDefault="00667D4A" w:rsidP="00D669D7">
            <w:pPr>
              <w:rPr>
                <w:sz w:val="22"/>
                <w:szCs w:val="22"/>
                <w:lang w:val="en-GB"/>
              </w:rPr>
            </w:pPr>
            <w:r>
              <w:rPr>
                <w:sz w:val="22"/>
                <w:szCs w:val="22"/>
                <w:lang w:val="en-GB"/>
              </w:rPr>
              <w:t>Sea water</w:t>
            </w:r>
          </w:p>
        </w:tc>
        <w:tc>
          <w:tcPr>
            <w:tcW w:w="1100" w:type="dxa"/>
          </w:tcPr>
          <w:p w14:paraId="5D7204E0" w14:textId="77777777" w:rsidR="00667D4A" w:rsidRPr="00F025B4" w:rsidRDefault="00667D4A" w:rsidP="00D669D7">
            <w:pPr>
              <w:jc w:val="center"/>
              <w:rPr>
                <w:sz w:val="22"/>
                <w:szCs w:val="22"/>
                <w:lang w:val="en-GB"/>
              </w:rPr>
            </w:pPr>
            <w:r>
              <w:rPr>
                <w:sz w:val="22"/>
                <w:szCs w:val="22"/>
                <w:lang w:val="en-GB"/>
              </w:rPr>
              <w:t>2.1</w:t>
            </w:r>
          </w:p>
        </w:tc>
        <w:tc>
          <w:tcPr>
            <w:tcW w:w="1100" w:type="dxa"/>
          </w:tcPr>
          <w:p w14:paraId="7A31F098" w14:textId="77777777" w:rsidR="00667D4A" w:rsidRPr="00F025B4" w:rsidRDefault="00667D4A" w:rsidP="00D669D7">
            <w:pPr>
              <w:jc w:val="center"/>
              <w:rPr>
                <w:sz w:val="22"/>
                <w:szCs w:val="22"/>
                <w:lang w:val="en-GB"/>
              </w:rPr>
            </w:pPr>
            <w:r>
              <w:rPr>
                <w:sz w:val="22"/>
                <w:szCs w:val="22"/>
                <w:lang w:val="en-GB"/>
              </w:rPr>
              <w:t>9.2</w:t>
            </w:r>
          </w:p>
        </w:tc>
        <w:tc>
          <w:tcPr>
            <w:tcW w:w="1100" w:type="dxa"/>
          </w:tcPr>
          <w:p w14:paraId="68E7F4A6" w14:textId="77777777" w:rsidR="00667D4A" w:rsidRPr="00F025B4" w:rsidRDefault="00667D4A" w:rsidP="00D669D7">
            <w:pPr>
              <w:jc w:val="center"/>
              <w:rPr>
                <w:sz w:val="22"/>
                <w:szCs w:val="22"/>
                <w:lang w:val="en-GB"/>
              </w:rPr>
            </w:pPr>
            <w:r>
              <w:rPr>
                <w:sz w:val="22"/>
                <w:szCs w:val="22"/>
                <w:lang w:val="en-GB"/>
              </w:rPr>
              <w:t>1.8</w:t>
            </w:r>
          </w:p>
        </w:tc>
        <w:tc>
          <w:tcPr>
            <w:tcW w:w="1100" w:type="dxa"/>
          </w:tcPr>
          <w:p w14:paraId="25A160D8" w14:textId="77777777" w:rsidR="00667D4A" w:rsidRPr="00F025B4" w:rsidRDefault="00667D4A" w:rsidP="00D669D7">
            <w:pPr>
              <w:jc w:val="center"/>
              <w:rPr>
                <w:sz w:val="22"/>
                <w:szCs w:val="22"/>
                <w:lang w:val="en-GB"/>
              </w:rPr>
            </w:pPr>
            <w:r>
              <w:rPr>
                <w:sz w:val="22"/>
                <w:szCs w:val="22"/>
                <w:lang w:val="en-GB"/>
              </w:rPr>
              <w:t>6.2</w:t>
            </w:r>
          </w:p>
        </w:tc>
      </w:tr>
      <w:tr w:rsidR="00667D4A" w:rsidRPr="00F025B4" w14:paraId="38350C90" w14:textId="77777777" w:rsidTr="00D669D7">
        <w:trPr>
          <w:jc w:val="center"/>
        </w:trPr>
        <w:tc>
          <w:tcPr>
            <w:tcW w:w="2400" w:type="dxa"/>
          </w:tcPr>
          <w:p w14:paraId="7C8AACFC" w14:textId="77777777" w:rsidR="00667D4A" w:rsidRPr="00F025B4" w:rsidRDefault="00667D4A" w:rsidP="00D669D7">
            <w:pPr>
              <w:rPr>
                <w:sz w:val="22"/>
                <w:szCs w:val="22"/>
                <w:lang w:val="en-GB"/>
              </w:rPr>
            </w:pPr>
            <w:r>
              <w:rPr>
                <w:sz w:val="22"/>
                <w:szCs w:val="22"/>
                <w:lang w:val="en-GB"/>
              </w:rPr>
              <w:t>Reclaimed water</w:t>
            </w:r>
          </w:p>
        </w:tc>
        <w:tc>
          <w:tcPr>
            <w:tcW w:w="1100" w:type="dxa"/>
          </w:tcPr>
          <w:p w14:paraId="6F1B419F" w14:textId="77777777" w:rsidR="00667D4A" w:rsidRPr="00F025B4" w:rsidRDefault="00667D4A" w:rsidP="00D669D7">
            <w:pPr>
              <w:jc w:val="center"/>
              <w:rPr>
                <w:sz w:val="22"/>
                <w:szCs w:val="22"/>
                <w:lang w:val="en-GB"/>
              </w:rPr>
            </w:pPr>
            <w:r>
              <w:rPr>
                <w:sz w:val="22"/>
                <w:szCs w:val="22"/>
                <w:lang w:val="en-GB"/>
              </w:rPr>
              <w:t>1.9</w:t>
            </w:r>
          </w:p>
        </w:tc>
        <w:tc>
          <w:tcPr>
            <w:tcW w:w="1100" w:type="dxa"/>
          </w:tcPr>
          <w:p w14:paraId="03B15731" w14:textId="77777777" w:rsidR="00667D4A" w:rsidRPr="00F025B4" w:rsidRDefault="00667D4A" w:rsidP="00D669D7">
            <w:pPr>
              <w:jc w:val="center"/>
              <w:rPr>
                <w:sz w:val="22"/>
                <w:szCs w:val="22"/>
                <w:lang w:val="en-GB"/>
              </w:rPr>
            </w:pPr>
            <w:r>
              <w:rPr>
                <w:sz w:val="22"/>
                <w:szCs w:val="22"/>
                <w:lang w:val="en-GB"/>
              </w:rPr>
              <w:t>7.1</w:t>
            </w:r>
          </w:p>
        </w:tc>
        <w:tc>
          <w:tcPr>
            <w:tcW w:w="1100" w:type="dxa"/>
          </w:tcPr>
          <w:p w14:paraId="456AB1F7" w14:textId="77777777" w:rsidR="00667D4A" w:rsidRPr="00F025B4" w:rsidRDefault="00667D4A" w:rsidP="00D669D7">
            <w:pPr>
              <w:jc w:val="center"/>
              <w:rPr>
                <w:sz w:val="22"/>
                <w:szCs w:val="22"/>
                <w:lang w:val="en-GB"/>
              </w:rPr>
            </w:pPr>
            <w:r>
              <w:rPr>
                <w:sz w:val="22"/>
                <w:szCs w:val="22"/>
                <w:lang w:val="en-GB"/>
              </w:rPr>
              <w:t>1.2</w:t>
            </w:r>
          </w:p>
        </w:tc>
        <w:tc>
          <w:tcPr>
            <w:tcW w:w="1100" w:type="dxa"/>
          </w:tcPr>
          <w:p w14:paraId="293A2F4B" w14:textId="77777777" w:rsidR="00667D4A" w:rsidRPr="00F025B4" w:rsidRDefault="00667D4A" w:rsidP="00D669D7">
            <w:pPr>
              <w:jc w:val="center"/>
              <w:rPr>
                <w:sz w:val="22"/>
                <w:szCs w:val="22"/>
                <w:lang w:val="en-GB"/>
              </w:rPr>
            </w:pPr>
            <w:r>
              <w:rPr>
                <w:sz w:val="22"/>
                <w:szCs w:val="22"/>
                <w:lang w:val="en-GB"/>
              </w:rPr>
              <w:t>3.7</w:t>
            </w:r>
          </w:p>
        </w:tc>
      </w:tr>
      <w:tr w:rsidR="00667D4A" w:rsidRPr="00F025B4" w14:paraId="52B44789" w14:textId="77777777" w:rsidTr="002E002D">
        <w:trPr>
          <w:jc w:val="center"/>
        </w:trPr>
        <w:tc>
          <w:tcPr>
            <w:tcW w:w="2400" w:type="dxa"/>
          </w:tcPr>
          <w:p w14:paraId="662FD29E" w14:textId="77777777" w:rsidR="00667D4A" w:rsidRPr="00F025B4" w:rsidRDefault="00667D4A" w:rsidP="00D669D7">
            <w:pPr>
              <w:rPr>
                <w:sz w:val="22"/>
                <w:szCs w:val="22"/>
                <w:lang w:val="en-GB"/>
              </w:rPr>
            </w:pPr>
            <w:r>
              <w:rPr>
                <w:sz w:val="22"/>
                <w:szCs w:val="22"/>
                <w:lang w:val="en-GB"/>
              </w:rPr>
              <w:t>Surface water</w:t>
            </w:r>
          </w:p>
        </w:tc>
        <w:tc>
          <w:tcPr>
            <w:tcW w:w="1100" w:type="dxa"/>
          </w:tcPr>
          <w:p w14:paraId="53AFDD3A" w14:textId="77777777" w:rsidR="00667D4A" w:rsidRPr="00F025B4" w:rsidRDefault="00667D4A" w:rsidP="00D669D7">
            <w:pPr>
              <w:jc w:val="center"/>
              <w:rPr>
                <w:sz w:val="22"/>
                <w:szCs w:val="22"/>
                <w:lang w:val="en-GB"/>
              </w:rPr>
            </w:pPr>
            <w:r>
              <w:rPr>
                <w:sz w:val="22"/>
                <w:szCs w:val="22"/>
                <w:lang w:val="en-GB"/>
              </w:rPr>
              <w:t>1.4</w:t>
            </w:r>
          </w:p>
        </w:tc>
        <w:tc>
          <w:tcPr>
            <w:tcW w:w="1100" w:type="dxa"/>
          </w:tcPr>
          <w:p w14:paraId="1CC6CE24" w14:textId="77777777" w:rsidR="00667D4A" w:rsidRPr="00F025B4" w:rsidRDefault="00667D4A" w:rsidP="00D669D7">
            <w:pPr>
              <w:jc w:val="center"/>
              <w:rPr>
                <w:sz w:val="22"/>
                <w:szCs w:val="22"/>
                <w:lang w:val="en-GB"/>
              </w:rPr>
            </w:pPr>
            <w:r>
              <w:rPr>
                <w:sz w:val="22"/>
                <w:szCs w:val="22"/>
                <w:lang w:val="en-GB"/>
              </w:rPr>
              <w:t>3.1</w:t>
            </w:r>
          </w:p>
        </w:tc>
        <w:tc>
          <w:tcPr>
            <w:tcW w:w="1100" w:type="dxa"/>
          </w:tcPr>
          <w:p w14:paraId="11DF0D47" w14:textId="77777777" w:rsidR="00667D4A" w:rsidRPr="00F025B4" w:rsidRDefault="00667D4A" w:rsidP="00D669D7">
            <w:pPr>
              <w:jc w:val="center"/>
              <w:rPr>
                <w:sz w:val="22"/>
                <w:szCs w:val="22"/>
                <w:lang w:val="en-GB"/>
              </w:rPr>
            </w:pPr>
            <w:r>
              <w:rPr>
                <w:sz w:val="22"/>
                <w:szCs w:val="22"/>
                <w:lang w:val="en-GB"/>
              </w:rPr>
              <w:t>1.9</w:t>
            </w:r>
          </w:p>
        </w:tc>
        <w:tc>
          <w:tcPr>
            <w:tcW w:w="1100" w:type="dxa"/>
          </w:tcPr>
          <w:p w14:paraId="350D1A3C" w14:textId="77777777" w:rsidR="00667D4A" w:rsidRPr="00F025B4" w:rsidRDefault="00667D4A" w:rsidP="00D669D7">
            <w:pPr>
              <w:jc w:val="center"/>
              <w:rPr>
                <w:sz w:val="22"/>
                <w:szCs w:val="22"/>
                <w:lang w:val="en-GB"/>
              </w:rPr>
            </w:pPr>
            <w:r>
              <w:rPr>
                <w:sz w:val="22"/>
                <w:szCs w:val="22"/>
                <w:lang w:val="en-GB"/>
              </w:rPr>
              <w:t>7.0</w:t>
            </w:r>
          </w:p>
        </w:tc>
      </w:tr>
      <w:tr w:rsidR="00667D4A" w:rsidRPr="00F025B4" w14:paraId="6AACA4D6" w14:textId="77777777" w:rsidTr="002E002D">
        <w:trPr>
          <w:jc w:val="center"/>
        </w:trPr>
        <w:tc>
          <w:tcPr>
            <w:tcW w:w="2400" w:type="dxa"/>
            <w:tcBorders>
              <w:bottom w:val="single" w:sz="4" w:space="0" w:color="auto"/>
            </w:tcBorders>
          </w:tcPr>
          <w:p w14:paraId="69294781" w14:textId="77777777" w:rsidR="00667D4A" w:rsidRPr="00F025B4" w:rsidRDefault="00667D4A" w:rsidP="00D669D7">
            <w:pPr>
              <w:rPr>
                <w:sz w:val="22"/>
                <w:szCs w:val="22"/>
                <w:lang w:val="en-GB"/>
              </w:rPr>
            </w:pPr>
            <w:r>
              <w:rPr>
                <w:sz w:val="22"/>
                <w:szCs w:val="22"/>
                <w:lang w:val="en-GB"/>
              </w:rPr>
              <w:t>Wastewater</w:t>
            </w:r>
          </w:p>
        </w:tc>
        <w:tc>
          <w:tcPr>
            <w:tcW w:w="1100" w:type="dxa"/>
            <w:tcBorders>
              <w:bottom w:val="single" w:sz="4" w:space="0" w:color="auto"/>
            </w:tcBorders>
          </w:tcPr>
          <w:p w14:paraId="6FA91FEA" w14:textId="77777777" w:rsidR="00667D4A" w:rsidRPr="00F025B4" w:rsidRDefault="00667D4A" w:rsidP="00D669D7">
            <w:pPr>
              <w:jc w:val="center"/>
              <w:rPr>
                <w:sz w:val="22"/>
                <w:szCs w:val="22"/>
                <w:lang w:val="en-GB"/>
              </w:rPr>
            </w:pPr>
            <w:r>
              <w:rPr>
                <w:sz w:val="22"/>
                <w:szCs w:val="22"/>
                <w:lang w:val="en-GB"/>
              </w:rPr>
              <w:t>1.7</w:t>
            </w:r>
          </w:p>
        </w:tc>
        <w:tc>
          <w:tcPr>
            <w:tcW w:w="1100" w:type="dxa"/>
            <w:tcBorders>
              <w:bottom w:val="single" w:sz="4" w:space="0" w:color="auto"/>
            </w:tcBorders>
          </w:tcPr>
          <w:p w14:paraId="463A3E1B" w14:textId="77777777" w:rsidR="00667D4A" w:rsidRPr="00F025B4" w:rsidRDefault="00667D4A" w:rsidP="00D669D7">
            <w:pPr>
              <w:jc w:val="center"/>
              <w:rPr>
                <w:sz w:val="22"/>
                <w:szCs w:val="22"/>
                <w:lang w:val="en-GB"/>
              </w:rPr>
            </w:pPr>
            <w:r>
              <w:rPr>
                <w:sz w:val="22"/>
                <w:szCs w:val="22"/>
                <w:lang w:val="en-GB"/>
              </w:rPr>
              <w:t>4.6</w:t>
            </w:r>
          </w:p>
        </w:tc>
        <w:tc>
          <w:tcPr>
            <w:tcW w:w="1100" w:type="dxa"/>
            <w:tcBorders>
              <w:bottom w:val="single" w:sz="4" w:space="0" w:color="auto"/>
            </w:tcBorders>
          </w:tcPr>
          <w:p w14:paraId="436D7371" w14:textId="77777777" w:rsidR="00667D4A" w:rsidRPr="00F025B4" w:rsidRDefault="00667D4A" w:rsidP="00D669D7">
            <w:pPr>
              <w:jc w:val="center"/>
              <w:rPr>
                <w:sz w:val="22"/>
                <w:szCs w:val="22"/>
                <w:lang w:val="en-GB"/>
              </w:rPr>
            </w:pPr>
            <w:r>
              <w:rPr>
                <w:sz w:val="22"/>
                <w:szCs w:val="22"/>
                <w:lang w:val="en-GB"/>
              </w:rPr>
              <w:t>1.4</w:t>
            </w:r>
          </w:p>
        </w:tc>
        <w:tc>
          <w:tcPr>
            <w:tcW w:w="1100" w:type="dxa"/>
            <w:tcBorders>
              <w:bottom w:val="single" w:sz="4" w:space="0" w:color="auto"/>
            </w:tcBorders>
          </w:tcPr>
          <w:p w14:paraId="58F28387" w14:textId="77777777" w:rsidR="00667D4A" w:rsidRPr="00F025B4" w:rsidRDefault="00667D4A" w:rsidP="00D669D7">
            <w:pPr>
              <w:jc w:val="center"/>
              <w:rPr>
                <w:sz w:val="22"/>
                <w:szCs w:val="22"/>
                <w:lang w:val="en-GB"/>
              </w:rPr>
            </w:pPr>
            <w:r>
              <w:rPr>
                <w:sz w:val="22"/>
                <w:szCs w:val="22"/>
                <w:lang w:val="en-GB"/>
              </w:rPr>
              <w:t>3.0</w:t>
            </w:r>
          </w:p>
        </w:tc>
      </w:tr>
    </w:tbl>
    <w:p w14:paraId="3C107999" w14:textId="77777777" w:rsidR="00667D4A" w:rsidRPr="007E4EDA" w:rsidRDefault="00667D4A" w:rsidP="00667D4A">
      <w:pPr>
        <w:rPr>
          <w:lang w:val="en-GB"/>
        </w:rPr>
      </w:pPr>
    </w:p>
    <w:p w14:paraId="5F15B407" w14:textId="77777777" w:rsidR="00667D4A" w:rsidRPr="007E4EDA" w:rsidRDefault="00667D4A" w:rsidP="00667D4A">
      <w:pPr>
        <w:rPr>
          <w:lang w:val="en-GB"/>
        </w:rPr>
      </w:pPr>
    </w:p>
    <w:p w14:paraId="5EA85B64" w14:textId="77777777" w:rsidR="00667D4A" w:rsidRPr="007E4EDA" w:rsidRDefault="00667D4A" w:rsidP="00667D4A">
      <w:pPr>
        <w:rPr>
          <w:lang w:val="en-GB"/>
        </w:rPr>
      </w:pPr>
      <w:r>
        <w:rPr>
          <w:lang w:val="en-GB"/>
        </w:rPr>
        <w:br w:type="page"/>
      </w:r>
    </w:p>
    <w:p w14:paraId="7D045D8A" w14:textId="5333C35D" w:rsidR="00667D4A" w:rsidRPr="007E4EDA" w:rsidRDefault="00667D4A" w:rsidP="00667D4A">
      <w:pPr>
        <w:rPr>
          <w:sz w:val="24"/>
          <w:szCs w:val="24"/>
          <w:lang w:val="en-GB"/>
        </w:rPr>
      </w:pPr>
      <w:r>
        <w:rPr>
          <w:b/>
          <w:bCs/>
          <w:sz w:val="24"/>
          <w:szCs w:val="24"/>
          <w:lang w:val="en-GB"/>
        </w:rPr>
        <w:lastRenderedPageBreak/>
        <w:t xml:space="preserve">Figure 1. </w:t>
      </w:r>
      <w:r>
        <w:rPr>
          <w:sz w:val="24"/>
          <w:szCs w:val="24"/>
          <w:lang w:val="en-GB"/>
        </w:rPr>
        <w:t xml:space="preserve">Comparison of results obtained using the ISO 9308-2 (reference) method and ENUMERA®-Coli100 method for the determination of </w:t>
      </w:r>
      <w:r>
        <w:rPr>
          <w:i/>
          <w:iCs/>
          <w:sz w:val="24"/>
          <w:szCs w:val="24"/>
          <w:lang w:val="en-GB"/>
        </w:rPr>
        <w:t>E. coli</w:t>
      </w:r>
      <w:r>
        <w:rPr>
          <w:sz w:val="24"/>
          <w:szCs w:val="24"/>
          <w:lang w:val="en-GB"/>
        </w:rPr>
        <w:t xml:space="preserve"> and total coliforms. Results are expressed as log₁₀ MPN/100 mL. DW, MW, RW, SW and WW refer to drinking water, marine water, reclaimed water, surface water and wastewater matrices, respectively.</w:t>
      </w:r>
    </w:p>
    <w:p w14:paraId="45BB1FD8" w14:textId="77777777" w:rsidR="00AF7F46" w:rsidRPr="007E4EDA" w:rsidRDefault="00AF7F46" w:rsidP="00667D4A">
      <w:pPr>
        <w:rPr>
          <w:sz w:val="24"/>
          <w:szCs w:val="24"/>
          <w:lang w:val="en-GB"/>
        </w:rPr>
      </w:pPr>
    </w:p>
    <w:p w14:paraId="62735174" w14:textId="748A3B4C" w:rsidR="00850B73" w:rsidRPr="007E4EDA" w:rsidRDefault="008D391A" w:rsidP="00667D4A">
      <w:pPr>
        <w:rPr>
          <w:lang w:val="en-GB"/>
        </w:rPr>
      </w:pPr>
      <w:r>
        <w:rPr>
          <w:noProof/>
          <w:lang w:val="en-GB"/>
        </w:rPr>
        <w:drawing>
          <wp:inline distT="0" distB="0" distL="0" distR="0" wp14:anchorId="7611C985" wp14:editId="74FE4E15">
            <wp:extent cx="8863330" cy="3693160"/>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863330" cy="3693160"/>
                    </a:xfrm>
                    <a:prstGeom prst="rect">
                      <a:avLst/>
                    </a:prstGeom>
                  </pic:spPr>
                </pic:pic>
              </a:graphicData>
            </a:graphic>
          </wp:inline>
        </w:drawing>
      </w:r>
    </w:p>
    <w:p w14:paraId="07D96575" w14:textId="30F7EB1C" w:rsidR="00850B73" w:rsidRPr="007E4EDA" w:rsidRDefault="00850B73" w:rsidP="00667D4A">
      <w:pPr>
        <w:rPr>
          <w:lang w:val="en-GB"/>
        </w:rPr>
      </w:pPr>
    </w:p>
    <w:p w14:paraId="07080E9F" w14:textId="77777777" w:rsidR="00667D4A" w:rsidRPr="007E4EDA" w:rsidRDefault="00667D4A" w:rsidP="00667D4A">
      <w:pPr>
        <w:rPr>
          <w:lang w:val="en-GB"/>
        </w:rPr>
      </w:pPr>
    </w:p>
    <w:p w14:paraId="79C9453C" w14:textId="0F5EDB61" w:rsidR="00667D4A" w:rsidRPr="007E4EDA" w:rsidRDefault="00667D4A" w:rsidP="00667D4A">
      <w:pPr>
        <w:rPr>
          <w:lang w:val="en-GB"/>
        </w:rPr>
      </w:pPr>
      <w:r>
        <w:rPr>
          <w:lang w:val="en-GB"/>
        </w:rPr>
        <w:br w:type="page"/>
      </w:r>
    </w:p>
    <w:p w14:paraId="1C9D6A97" w14:textId="58D410CB" w:rsidR="33F9BB01" w:rsidRDefault="33F9BB01" w:rsidP="33F9BB01">
      <w:pPr>
        <w:rPr>
          <w:sz w:val="24"/>
          <w:szCs w:val="24"/>
          <w:lang w:val="en-GB"/>
        </w:rPr>
      </w:pPr>
      <w:r>
        <w:rPr>
          <w:b/>
          <w:bCs/>
          <w:sz w:val="24"/>
          <w:szCs w:val="24"/>
          <w:lang w:val="en-GB"/>
        </w:rPr>
        <w:lastRenderedPageBreak/>
        <w:t xml:space="preserve">Figure 2. </w:t>
      </w:r>
      <w:r>
        <w:rPr>
          <w:sz w:val="24"/>
          <w:szCs w:val="24"/>
          <w:lang w:val="en-GB"/>
        </w:rPr>
        <w:t xml:space="preserve">Precision profiles of the ENUMERA®-Coli100 method and ISO 9308-2 (Reference) for </w:t>
      </w:r>
      <w:r>
        <w:rPr>
          <w:i/>
          <w:iCs/>
          <w:sz w:val="24"/>
          <w:szCs w:val="24"/>
          <w:lang w:val="en-GB"/>
        </w:rPr>
        <w:t>E. coli</w:t>
      </w:r>
      <w:r>
        <w:rPr>
          <w:sz w:val="24"/>
          <w:szCs w:val="24"/>
          <w:lang w:val="en-GB"/>
        </w:rPr>
        <w:t xml:space="preserve"> and total coliforms, expressed as standard deviation of reproducibility (SR). The relative differences between duplicate analyses are shown as a function of analyte concentration. DW: drinking water; RW: reclaimed water (RW); MW: seawater; SW: surface water; and WW: wastewater.</w:t>
      </w:r>
    </w:p>
    <w:p w14:paraId="3E1F6927" w14:textId="5E30BBF3" w:rsidR="33F9BB01" w:rsidRDefault="33F9BB01" w:rsidP="33F9BB01">
      <w:pPr>
        <w:rPr>
          <w:sz w:val="24"/>
          <w:szCs w:val="24"/>
          <w:lang w:val="en-GB"/>
        </w:rPr>
      </w:pPr>
    </w:p>
    <w:p w14:paraId="21DA7E2E" w14:textId="77777777" w:rsidR="33F9BB01" w:rsidRDefault="33F9BB01" w:rsidP="33F9BB01">
      <w:pPr>
        <w:rPr>
          <w:lang w:val="en-GB"/>
        </w:rPr>
      </w:pPr>
    </w:p>
    <w:p w14:paraId="536C8087" w14:textId="40DDE89D" w:rsidR="33F9BB01" w:rsidRDefault="33F9BB01" w:rsidP="33F9BB01">
      <w:pPr>
        <w:ind w:left="2832"/>
        <w:rPr>
          <w:lang w:val="en-GB"/>
        </w:rPr>
      </w:pPr>
      <w:r>
        <w:rPr>
          <w:lang w:val="en-GB"/>
        </w:rPr>
        <w:t xml:space="preserve">            </w:t>
      </w:r>
      <w:r>
        <w:rPr>
          <w:noProof/>
        </w:rPr>
        <w:drawing>
          <wp:inline distT="0" distB="0" distL="0" distR="0" wp14:anchorId="1DC071BC" wp14:editId="1226F074">
            <wp:extent cx="4554007" cy="4554007"/>
            <wp:effectExtent l="0" t="0" r="0" b="0"/>
            <wp:docPr id="104198213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5" cstate="print">
                      <a:extLst>
                        <a:ext uri="{28A0092B-C50C-407E-A947-70E740481C1C}">
                          <a14:useLocalDpi xmlns:a14="http://schemas.microsoft.com/office/drawing/2010/main"/>
                        </a:ext>
                      </a:extLst>
                    </a:blip>
                    <a:stretch>
                      <a:fillRect/>
                    </a:stretch>
                  </pic:blipFill>
                  <pic:spPr>
                    <a:xfrm>
                      <a:off x="0" y="0"/>
                      <a:ext cx="4554007" cy="4554007"/>
                    </a:xfrm>
                    <a:prstGeom prst="rect">
                      <a:avLst/>
                    </a:prstGeom>
                  </pic:spPr>
                </pic:pic>
              </a:graphicData>
            </a:graphic>
          </wp:inline>
        </w:drawing>
      </w:r>
    </w:p>
    <w:p w14:paraId="3188ED89" w14:textId="3E06F276" w:rsidR="33F9BB01" w:rsidRDefault="33F9BB01" w:rsidP="33F9BB01">
      <w:pPr>
        <w:rPr>
          <w:b/>
          <w:bCs/>
          <w:sz w:val="24"/>
          <w:szCs w:val="24"/>
          <w:lang w:val="en-GB"/>
        </w:rPr>
      </w:pPr>
    </w:p>
    <w:p w14:paraId="30AFCD05" w14:textId="1D64D5E0" w:rsidR="005C22D4" w:rsidRPr="007E4EDA" w:rsidRDefault="00667D4A" w:rsidP="00667D4A">
      <w:pPr>
        <w:rPr>
          <w:sz w:val="24"/>
          <w:szCs w:val="24"/>
          <w:lang w:val="en-GB"/>
        </w:rPr>
      </w:pPr>
      <w:r>
        <w:rPr>
          <w:b/>
          <w:bCs/>
          <w:sz w:val="24"/>
          <w:szCs w:val="24"/>
          <w:lang w:val="en-GB"/>
        </w:rPr>
        <w:lastRenderedPageBreak/>
        <w:t xml:space="preserve">Figure 3. </w:t>
      </w:r>
      <w:r>
        <w:rPr>
          <w:sz w:val="24"/>
          <w:szCs w:val="24"/>
          <w:lang w:val="en-GB"/>
        </w:rPr>
        <w:t xml:space="preserve">Bland-Altman plots showing agreement between the ENUMERA®-Coli100 method and ISO 9308-2 (Reference) for </w:t>
      </w:r>
      <w:r>
        <w:rPr>
          <w:i/>
          <w:iCs/>
          <w:sz w:val="24"/>
          <w:szCs w:val="24"/>
          <w:lang w:val="en-GB"/>
        </w:rPr>
        <w:t>E. coli</w:t>
      </w:r>
      <w:r>
        <w:rPr>
          <w:sz w:val="24"/>
          <w:szCs w:val="24"/>
          <w:lang w:val="en-GB"/>
        </w:rPr>
        <w:t xml:space="preserve"> and total coliforms in all water matrices. Differences between paired results are plotted against the corresponding mean values. The solid central line indicates the bias, and the upper and lower lines indicate the 95% limits of agreement. Water matrices are identified as drinking water (DW), reclaimed water (RW), seawater (MW), surface water (SW), and wastewater (WW).</w:t>
      </w:r>
    </w:p>
    <w:p w14:paraId="4C794AFF" w14:textId="77777777" w:rsidR="00667D4A" w:rsidRPr="007E4EDA" w:rsidRDefault="00667D4A" w:rsidP="00667D4A">
      <w:pPr>
        <w:rPr>
          <w:lang w:val="en-GB"/>
        </w:rPr>
      </w:pPr>
    </w:p>
    <w:p w14:paraId="278D97E4" w14:textId="397F72EC" w:rsidR="00667D4A" w:rsidRPr="007E4EDA" w:rsidRDefault="00A0711A" w:rsidP="002E002D">
      <w:pPr>
        <w:ind w:left="2832"/>
        <w:rPr>
          <w:lang w:val="en-GB"/>
        </w:rPr>
      </w:pPr>
      <w:r>
        <w:rPr>
          <w:noProof/>
          <w:sz w:val="24"/>
          <w:szCs w:val="24"/>
          <w:lang w:val="en-GB"/>
        </w:rPr>
        <w:drawing>
          <wp:inline distT="0" distB="0" distL="0" distR="0" wp14:anchorId="5F536A16" wp14:editId="6D615284">
            <wp:extent cx="4747260" cy="4747260"/>
            <wp:effectExtent l="0" t="0" r="0" b="0"/>
            <wp:docPr id="15663819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47260" cy="4747260"/>
                    </a:xfrm>
                    <a:prstGeom prst="rect">
                      <a:avLst/>
                    </a:prstGeom>
                  </pic:spPr>
                </pic:pic>
              </a:graphicData>
            </a:graphic>
          </wp:inline>
        </w:drawing>
      </w:r>
      <w:r>
        <w:rPr>
          <w:lang w:val="en-GB"/>
        </w:rPr>
        <w:br w:type="page"/>
      </w:r>
    </w:p>
    <w:p w14:paraId="1ABD7CB4" w14:textId="4394EEFA" w:rsidR="00667D4A" w:rsidRPr="007E4EDA" w:rsidRDefault="00667D4A" w:rsidP="00667D4A">
      <w:pPr>
        <w:rPr>
          <w:sz w:val="24"/>
          <w:szCs w:val="24"/>
          <w:lang w:val="en-GB"/>
        </w:rPr>
      </w:pPr>
      <w:r>
        <w:rPr>
          <w:b/>
          <w:bCs/>
          <w:sz w:val="24"/>
          <w:szCs w:val="24"/>
          <w:lang w:val="en-GB"/>
        </w:rPr>
        <w:lastRenderedPageBreak/>
        <w:t>Figure 4.</w:t>
      </w:r>
      <w:r>
        <w:rPr>
          <w:sz w:val="24"/>
          <w:szCs w:val="24"/>
          <w:lang w:val="en-GB"/>
        </w:rPr>
        <w:t xml:space="preserve"> Passing-Bablok regression plots comparing the ENUMERA® Coli1100 method with the ISO 9308-2 reference method for </w:t>
      </w:r>
      <w:r>
        <w:rPr>
          <w:i/>
          <w:iCs/>
          <w:sz w:val="24"/>
          <w:szCs w:val="24"/>
          <w:lang w:val="en-GB"/>
        </w:rPr>
        <w:t>E. coli</w:t>
      </w:r>
      <w:r>
        <w:rPr>
          <w:sz w:val="24"/>
          <w:szCs w:val="24"/>
          <w:lang w:val="en-GB"/>
        </w:rPr>
        <w:t xml:space="preserve"> and total coliforms across all water matrices, using log10(1 + MPN/100 mL)-transformed values. Regression parameters and Pearson’s </w:t>
      </w:r>
      <w:r>
        <w:rPr>
          <w:i/>
          <w:iCs/>
          <w:sz w:val="24"/>
          <w:szCs w:val="24"/>
          <w:lang w:val="en-GB"/>
        </w:rPr>
        <w:t>r</w:t>
      </w:r>
      <w:r>
        <w:rPr>
          <w:sz w:val="24"/>
          <w:szCs w:val="24"/>
          <w:lang w:val="en-GB"/>
        </w:rPr>
        <w:t xml:space="preserve"> are shown in each plot.</w:t>
      </w:r>
    </w:p>
    <w:p w14:paraId="7265BA36" w14:textId="77777777" w:rsidR="00667D4A" w:rsidRPr="007E4EDA" w:rsidRDefault="00667D4A" w:rsidP="00667D4A">
      <w:pPr>
        <w:rPr>
          <w:lang w:val="en-GB"/>
        </w:rPr>
      </w:pPr>
    </w:p>
    <w:p w14:paraId="44D0B295" w14:textId="3EDB5605" w:rsidR="00667D4A" w:rsidRPr="007E4EDA" w:rsidRDefault="00667D4A" w:rsidP="00667D4A">
      <w:pPr>
        <w:jc w:val="center"/>
        <w:rPr>
          <w:lang w:val="en-GB"/>
        </w:rPr>
      </w:pPr>
    </w:p>
    <w:p w14:paraId="155FD6D9" w14:textId="1F6F9033" w:rsidR="00667D4A" w:rsidRPr="007E4EDA" w:rsidRDefault="00981945" w:rsidP="00667D4A">
      <w:pPr>
        <w:rPr>
          <w:lang w:val="en-GB"/>
        </w:rPr>
      </w:pPr>
      <w:r>
        <w:rPr>
          <w:noProof/>
          <w:lang w:val="en-GB"/>
        </w:rPr>
        <w:drawing>
          <wp:inline distT="0" distB="0" distL="0" distR="0" wp14:anchorId="15FBC9E0" wp14:editId="11A55420">
            <wp:extent cx="8863330" cy="4431665"/>
            <wp:effectExtent l="0" t="0" r="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18C1F8B5" w14:textId="77777777" w:rsidR="00667D4A" w:rsidRPr="007E4EDA" w:rsidRDefault="00667D4A" w:rsidP="00667D4A">
      <w:pPr>
        <w:rPr>
          <w:lang w:val="en-GB"/>
        </w:rPr>
      </w:pPr>
      <w:r>
        <w:rPr>
          <w:lang w:val="en-GB"/>
        </w:rPr>
        <w:br w:type="page"/>
      </w:r>
    </w:p>
    <w:p w14:paraId="17F2F351" w14:textId="7DC9B5BF" w:rsidR="00561DF7" w:rsidRPr="007E4EDA" w:rsidRDefault="00561DF7" w:rsidP="00561DF7">
      <w:pPr>
        <w:spacing w:after="160" w:line="259" w:lineRule="auto"/>
        <w:rPr>
          <w:sz w:val="22"/>
          <w:szCs w:val="22"/>
          <w:lang w:val="en-GB"/>
        </w:rPr>
      </w:pPr>
      <w:r>
        <w:rPr>
          <w:b/>
          <w:bCs/>
          <w:sz w:val="22"/>
          <w:szCs w:val="22"/>
          <w:lang w:val="en-GB"/>
        </w:rPr>
        <w:lastRenderedPageBreak/>
        <w:t xml:space="preserve">Figure 5. </w:t>
      </w:r>
      <w:r>
        <w:rPr>
          <w:sz w:val="22"/>
          <w:szCs w:val="22"/>
          <w:lang w:val="en-GB"/>
        </w:rPr>
        <w:t>Effect of overflow well status on MPN estimates using log</w:t>
      </w:r>
      <w:r>
        <w:rPr>
          <w:sz w:val="22"/>
          <w:szCs w:val="22"/>
          <w:vertAlign w:val="subscript"/>
          <w:lang w:val="en-GB"/>
        </w:rPr>
        <w:t>10</w:t>
      </w:r>
      <w:r>
        <w:rPr>
          <w:sz w:val="22"/>
          <w:szCs w:val="22"/>
          <w:lang w:val="en-GB"/>
        </w:rPr>
        <w:t xml:space="preserve"> (1 + MPN/100 mL): Bland-Altman comparison of 2-well and 3-well configurations.</w:t>
      </w:r>
    </w:p>
    <w:p w14:paraId="7E99F4E2" w14:textId="6F9C349A" w:rsidR="00561DF7" w:rsidRPr="007E4EDA" w:rsidRDefault="00561DF7" w:rsidP="00667D4A">
      <w:pPr>
        <w:spacing w:after="160" w:line="259" w:lineRule="auto"/>
        <w:rPr>
          <w:lang w:val="en-GB"/>
        </w:rPr>
      </w:pPr>
      <w:r>
        <w:rPr>
          <w:noProof/>
          <w:lang w:val="en-GB"/>
        </w:rPr>
        <w:drawing>
          <wp:inline distT="0" distB="0" distL="0" distR="0" wp14:anchorId="569AE51D" wp14:editId="5020D959">
            <wp:extent cx="8863330" cy="3693160"/>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863330" cy="3693160"/>
                    </a:xfrm>
                    <a:prstGeom prst="rect">
                      <a:avLst/>
                    </a:prstGeom>
                  </pic:spPr>
                </pic:pic>
              </a:graphicData>
            </a:graphic>
          </wp:inline>
        </w:drawing>
      </w:r>
    </w:p>
    <w:p w14:paraId="0A40514C" w14:textId="00DE5BCE" w:rsidR="002E002D" w:rsidRPr="007E4EDA" w:rsidRDefault="002E002D">
      <w:pPr>
        <w:rPr>
          <w:lang w:val="en-GB"/>
        </w:rPr>
      </w:pPr>
      <w:r>
        <w:rPr>
          <w:lang w:val="en-GB"/>
        </w:rPr>
        <w:br w:type="page"/>
      </w:r>
    </w:p>
    <w:p w14:paraId="11B58068" w14:textId="07645795" w:rsidR="00667D4A" w:rsidRPr="007E4EDA" w:rsidRDefault="00667D4A" w:rsidP="00667D4A">
      <w:pPr>
        <w:spacing w:after="160" w:line="259" w:lineRule="auto"/>
        <w:rPr>
          <w:sz w:val="24"/>
          <w:szCs w:val="24"/>
          <w:lang w:val="en-GB"/>
        </w:rPr>
      </w:pPr>
      <w:r>
        <w:rPr>
          <w:b/>
          <w:bCs/>
          <w:sz w:val="24"/>
          <w:szCs w:val="24"/>
          <w:lang w:val="en-GB"/>
        </w:rPr>
        <w:lastRenderedPageBreak/>
        <w:t xml:space="preserve">Figure 6. </w:t>
      </w:r>
      <w:r>
        <w:rPr>
          <w:sz w:val="24"/>
          <w:szCs w:val="24"/>
          <w:lang w:val="en-GB"/>
        </w:rPr>
        <w:t xml:space="preserve">Comparative performance of the Aquacoli chromogenic medium in different tray-based MPN formats. Enumeration of </w:t>
      </w:r>
      <w:r>
        <w:rPr>
          <w:i/>
          <w:iCs/>
          <w:sz w:val="24"/>
          <w:szCs w:val="24"/>
          <w:lang w:val="en-GB"/>
        </w:rPr>
        <w:t>E. coli</w:t>
      </w:r>
      <w:r>
        <w:rPr>
          <w:sz w:val="24"/>
          <w:szCs w:val="24"/>
          <w:lang w:val="en-GB"/>
        </w:rPr>
        <w:t xml:space="preserve"> (green) and total coliforms (green + yellow) in Quanti-Tray® was comparable to that obtained with the proprietary ENUMERA® Tray, indicating that the medium performance is not restricted to a single tray geometry.</w:t>
      </w:r>
    </w:p>
    <w:p w14:paraId="3B482CA1" w14:textId="77777777" w:rsidR="00F463D1" w:rsidRPr="007E4EDA" w:rsidRDefault="00F463D1" w:rsidP="00667D4A">
      <w:pPr>
        <w:spacing w:after="160" w:line="259" w:lineRule="auto"/>
        <w:rPr>
          <w:b/>
          <w:bCs/>
          <w:lang w:val="en-GB"/>
        </w:rPr>
      </w:pPr>
    </w:p>
    <w:p w14:paraId="5B97CA51" w14:textId="5F19EE2D" w:rsidR="00667D4A" w:rsidRPr="007E4EDA" w:rsidRDefault="00667D4A" w:rsidP="00765E91">
      <w:pPr>
        <w:jc w:val="center"/>
        <w:rPr>
          <w:lang w:val="en-GB"/>
        </w:rPr>
      </w:pPr>
    </w:p>
    <w:p w14:paraId="31E1DDE2" w14:textId="73FC4254" w:rsidR="00667D4A" w:rsidRPr="007E4EDA" w:rsidRDefault="00F463D1" w:rsidP="7BA0A04F">
      <w:pPr>
        <w:spacing w:after="80" w:line="360" w:lineRule="auto"/>
        <w:ind w:left="720" w:hanging="720"/>
      </w:pPr>
      <w:r>
        <w:rPr>
          <w:noProof/>
        </w:rPr>
        <w:drawing>
          <wp:inline distT="0" distB="0" distL="0" distR="0" wp14:anchorId="252B3908" wp14:editId="59C84A85">
            <wp:extent cx="8858250" cy="3419475"/>
            <wp:effectExtent l="0" t="0" r="0" b="0"/>
            <wp:docPr id="202643141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431416" name="Picture 2026431416"/>
                    <pic:cNvPicPr/>
                  </pic:nvPicPr>
                  <pic:blipFill>
                    <a:blip r:embed="rId19">
                      <a:extLst>
                        <a:ext uri="{28A0092B-C50C-407E-A947-70E740481C1C}">
                          <a14:useLocalDpi xmlns:a14="http://schemas.microsoft.com/office/drawing/2010/main"/>
                        </a:ext>
                      </a:extLst>
                    </a:blip>
                    <a:stretch>
                      <a:fillRect/>
                    </a:stretch>
                  </pic:blipFill>
                  <pic:spPr>
                    <a:xfrm>
                      <a:off x="0" y="0"/>
                      <a:ext cx="8858250" cy="3419475"/>
                    </a:xfrm>
                    <a:prstGeom prst="rect">
                      <a:avLst/>
                    </a:prstGeom>
                  </pic:spPr>
                </pic:pic>
              </a:graphicData>
            </a:graphic>
          </wp:inline>
        </w:drawing>
      </w:r>
    </w:p>
    <w:bookmarkEnd w:id="1"/>
    <w:p w14:paraId="336F01CA" w14:textId="412B5293" w:rsidR="00667D4A" w:rsidRPr="007E4EDA" w:rsidRDefault="00667D4A" w:rsidP="007C0DA0">
      <w:pPr>
        <w:spacing w:after="80" w:line="360" w:lineRule="auto"/>
        <w:ind w:left="720" w:hanging="720"/>
        <w:rPr>
          <w:sz w:val="24"/>
          <w:szCs w:val="24"/>
          <w:lang w:val="en-GB"/>
        </w:rPr>
      </w:pPr>
    </w:p>
    <w:sectPr w:rsidR="00667D4A" w:rsidRPr="007E4EDA" w:rsidSect="00667D4A">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055CED" w14:textId="77777777" w:rsidR="005A65CD" w:rsidRDefault="005A65CD" w:rsidP="00B11BCD">
      <w:r>
        <w:separator/>
      </w:r>
    </w:p>
  </w:endnote>
  <w:endnote w:type="continuationSeparator" w:id="0">
    <w:p w14:paraId="1598460C" w14:textId="77777777" w:rsidR="005A65CD" w:rsidRDefault="005A65CD" w:rsidP="00B11B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5E04EC" w14:textId="77777777" w:rsidR="00B11BCD" w:rsidRDefault="00B11BCD">
    <w:pPr>
      <w:pStyle w:val="Peu"/>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4757798"/>
      <w:docPartObj>
        <w:docPartGallery w:val="Page Numbers (Bottom of Page)"/>
        <w:docPartUnique/>
      </w:docPartObj>
    </w:sdtPr>
    <w:sdtContent>
      <w:sdt>
        <w:sdtPr>
          <w:id w:val="1728636285"/>
          <w:docPartObj>
            <w:docPartGallery w:val="Page Numbers (Top of Page)"/>
            <w:docPartUnique/>
          </w:docPartObj>
        </w:sdtPr>
        <w:sdtContent>
          <w:p w14:paraId="27570A4F" w14:textId="28EF1F31" w:rsidR="00B11BCD" w:rsidRDefault="00B11BCD">
            <w:pPr>
              <w:pStyle w:val="Peu"/>
              <w:jc w:val="center"/>
            </w:pPr>
            <w:r>
              <w:t xml:space="preserve">Page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of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00FCF0E5" w14:textId="77777777" w:rsidR="00B11BCD" w:rsidRDefault="00B11BCD">
    <w:pPr>
      <w:pStyle w:val="Peu"/>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A15E6" w14:textId="77777777" w:rsidR="00B11BCD" w:rsidRDefault="00B11BCD">
    <w:pPr>
      <w:pStyle w:val="Peu"/>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BF6170" w14:textId="77777777" w:rsidR="005A65CD" w:rsidRDefault="005A65CD" w:rsidP="00B11BCD">
      <w:r>
        <w:separator/>
      </w:r>
    </w:p>
  </w:footnote>
  <w:footnote w:type="continuationSeparator" w:id="0">
    <w:p w14:paraId="7E94B26D" w14:textId="77777777" w:rsidR="005A65CD" w:rsidRDefault="005A65CD" w:rsidP="00B11B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9D188" w14:textId="77777777" w:rsidR="00B11BCD" w:rsidRDefault="00B11BCD">
    <w:pPr>
      <w:pStyle w:val="Capaler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A40155" w14:textId="77777777" w:rsidR="00B11BCD" w:rsidRDefault="00B11BCD">
    <w:pPr>
      <w:pStyle w:val="Capaler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25AEA" w14:textId="77777777" w:rsidR="00B11BCD" w:rsidRDefault="00B11BCD">
    <w:pPr>
      <w:pStyle w:val="Capaler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4F71E1"/>
    <w:multiLevelType w:val="hybridMultilevel"/>
    <w:tmpl w:val="B6EE6CC0"/>
    <w:lvl w:ilvl="0" w:tplc="0D167840">
      <w:start w:val="1"/>
      <w:numFmt w:val="upp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 w15:restartNumberingAfterBreak="0">
    <w:nsid w:val="62B512EF"/>
    <w:multiLevelType w:val="hybridMultilevel"/>
    <w:tmpl w:val="335CE062"/>
    <w:lvl w:ilvl="0" w:tplc="AEAC6A76">
      <w:start w:val="1"/>
      <w:numFmt w:val="bullet"/>
      <w:lvlText w:val="●"/>
      <w:lvlJc w:val="left"/>
      <w:pPr>
        <w:ind w:left="720" w:hanging="360"/>
      </w:pPr>
    </w:lvl>
    <w:lvl w:ilvl="1" w:tplc="AAB69FAC">
      <w:start w:val="1"/>
      <w:numFmt w:val="bullet"/>
      <w:lvlText w:val="○"/>
      <w:lvlJc w:val="left"/>
      <w:pPr>
        <w:ind w:left="1440" w:hanging="360"/>
      </w:pPr>
    </w:lvl>
    <w:lvl w:ilvl="2" w:tplc="2E12B690">
      <w:start w:val="1"/>
      <w:numFmt w:val="bullet"/>
      <w:lvlText w:val="■"/>
      <w:lvlJc w:val="left"/>
      <w:pPr>
        <w:ind w:left="2160" w:hanging="360"/>
      </w:pPr>
    </w:lvl>
    <w:lvl w:ilvl="3" w:tplc="2F4AAE4A">
      <w:start w:val="1"/>
      <w:numFmt w:val="bullet"/>
      <w:lvlText w:val="●"/>
      <w:lvlJc w:val="left"/>
      <w:pPr>
        <w:ind w:left="2880" w:hanging="360"/>
      </w:pPr>
    </w:lvl>
    <w:lvl w:ilvl="4" w:tplc="E2A0C1EA">
      <w:start w:val="1"/>
      <w:numFmt w:val="bullet"/>
      <w:lvlText w:val="○"/>
      <w:lvlJc w:val="left"/>
      <w:pPr>
        <w:ind w:left="3600" w:hanging="360"/>
      </w:pPr>
    </w:lvl>
    <w:lvl w:ilvl="5" w:tplc="E38274F6">
      <w:start w:val="1"/>
      <w:numFmt w:val="bullet"/>
      <w:lvlText w:val="■"/>
      <w:lvlJc w:val="left"/>
      <w:pPr>
        <w:ind w:left="4320" w:hanging="360"/>
      </w:pPr>
    </w:lvl>
    <w:lvl w:ilvl="6" w:tplc="8A928C10">
      <w:start w:val="1"/>
      <w:numFmt w:val="bullet"/>
      <w:lvlText w:val="●"/>
      <w:lvlJc w:val="left"/>
      <w:pPr>
        <w:ind w:left="5040" w:hanging="360"/>
      </w:pPr>
    </w:lvl>
    <w:lvl w:ilvl="7" w:tplc="B7FCEE06">
      <w:start w:val="1"/>
      <w:numFmt w:val="bullet"/>
      <w:lvlText w:val="●"/>
      <w:lvlJc w:val="left"/>
      <w:pPr>
        <w:ind w:left="5760" w:hanging="360"/>
      </w:pPr>
    </w:lvl>
    <w:lvl w:ilvl="8" w:tplc="F1C6D0F2">
      <w:start w:val="1"/>
      <w:numFmt w:val="bullet"/>
      <w:lvlText w:val="●"/>
      <w:lvlJc w:val="left"/>
      <w:pPr>
        <w:ind w:left="6480" w:hanging="360"/>
      </w:pPr>
    </w:lvl>
  </w:abstractNum>
  <w:abstractNum w:abstractNumId="2" w15:restartNumberingAfterBreak="0">
    <w:nsid w:val="70775300"/>
    <w:multiLevelType w:val="hybridMultilevel"/>
    <w:tmpl w:val="B73889A4"/>
    <w:lvl w:ilvl="0" w:tplc="F34A19F2">
      <w:start w:val="1"/>
      <w:numFmt w:val="bullet"/>
      <w:lvlText w:val="•"/>
      <w:lvlJc w:val="left"/>
      <w:pPr>
        <w:ind w:left="720" w:hanging="360"/>
      </w:pPr>
    </w:lvl>
    <w:lvl w:ilvl="1" w:tplc="B3F66856">
      <w:numFmt w:val="decimal"/>
      <w:lvlText w:val=""/>
      <w:lvlJc w:val="left"/>
    </w:lvl>
    <w:lvl w:ilvl="2" w:tplc="11A0693A">
      <w:numFmt w:val="decimal"/>
      <w:lvlText w:val=""/>
      <w:lvlJc w:val="left"/>
    </w:lvl>
    <w:lvl w:ilvl="3" w:tplc="2E10A60A">
      <w:numFmt w:val="decimal"/>
      <w:lvlText w:val=""/>
      <w:lvlJc w:val="left"/>
    </w:lvl>
    <w:lvl w:ilvl="4" w:tplc="45263258">
      <w:numFmt w:val="decimal"/>
      <w:lvlText w:val=""/>
      <w:lvlJc w:val="left"/>
    </w:lvl>
    <w:lvl w:ilvl="5" w:tplc="CE5A012E">
      <w:numFmt w:val="decimal"/>
      <w:lvlText w:val=""/>
      <w:lvlJc w:val="left"/>
    </w:lvl>
    <w:lvl w:ilvl="6" w:tplc="8C88B94E">
      <w:numFmt w:val="decimal"/>
      <w:lvlText w:val=""/>
      <w:lvlJc w:val="left"/>
    </w:lvl>
    <w:lvl w:ilvl="7" w:tplc="8AE88E24">
      <w:numFmt w:val="decimal"/>
      <w:lvlText w:val=""/>
      <w:lvlJc w:val="left"/>
    </w:lvl>
    <w:lvl w:ilvl="8" w:tplc="785614A4">
      <w:numFmt w:val="decimal"/>
      <w:lvlText w:val=""/>
      <w:lvlJc w:val="left"/>
    </w:lvl>
  </w:abstractNum>
  <w:num w:numId="1" w16cid:durableId="1686708960">
    <w:abstractNumId w:val="1"/>
    <w:lvlOverride w:ilvl="0">
      <w:startOverride w:val="1"/>
    </w:lvlOverride>
  </w:num>
  <w:num w:numId="2" w16cid:durableId="1460803199">
    <w:abstractNumId w:val="2"/>
    <w:lvlOverride w:ilvl="0">
      <w:startOverride w:val="1"/>
    </w:lvlOverride>
  </w:num>
  <w:num w:numId="3" w16cid:durableId="2215998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30FE"/>
    <w:rsid w:val="0000530C"/>
    <w:rsid w:val="00006CEB"/>
    <w:rsid w:val="00011AFE"/>
    <w:rsid w:val="00035B23"/>
    <w:rsid w:val="00037491"/>
    <w:rsid w:val="0004074C"/>
    <w:rsid w:val="00044114"/>
    <w:rsid w:val="00053A34"/>
    <w:rsid w:val="00055443"/>
    <w:rsid w:val="00057AF6"/>
    <w:rsid w:val="000636D0"/>
    <w:rsid w:val="00066B9E"/>
    <w:rsid w:val="000679C7"/>
    <w:rsid w:val="00071709"/>
    <w:rsid w:val="00071E67"/>
    <w:rsid w:val="00081C16"/>
    <w:rsid w:val="00094E6D"/>
    <w:rsid w:val="000A028A"/>
    <w:rsid w:val="000A3AB7"/>
    <w:rsid w:val="000A7D5D"/>
    <w:rsid w:val="000B34A4"/>
    <w:rsid w:val="000B3505"/>
    <w:rsid w:val="000C34B2"/>
    <w:rsid w:val="000C5C2E"/>
    <w:rsid w:val="000C62FD"/>
    <w:rsid w:val="000D1690"/>
    <w:rsid w:val="000D23CE"/>
    <w:rsid w:val="000E01FA"/>
    <w:rsid w:val="000F01D1"/>
    <w:rsid w:val="00100E87"/>
    <w:rsid w:val="001014C4"/>
    <w:rsid w:val="00101A18"/>
    <w:rsid w:val="0010466A"/>
    <w:rsid w:val="001046D4"/>
    <w:rsid w:val="00121B6E"/>
    <w:rsid w:val="00121CE7"/>
    <w:rsid w:val="00130F15"/>
    <w:rsid w:val="00134FA3"/>
    <w:rsid w:val="00135A27"/>
    <w:rsid w:val="00136B59"/>
    <w:rsid w:val="00147201"/>
    <w:rsid w:val="00151085"/>
    <w:rsid w:val="00152F5D"/>
    <w:rsid w:val="00155157"/>
    <w:rsid w:val="00161052"/>
    <w:rsid w:val="00167557"/>
    <w:rsid w:val="00173C14"/>
    <w:rsid w:val="00176A8A"/>
    <w:rsid w:val="00180E7F"/>
    <w:rsid w:val="00181770"/>
    <w:rsid w:val="00185AE6"/>
    <w:rsid w:val="00191A87"/>
    <w:rsid w:val="00192CC5"/>
    <w:rsid w:val="001950B2"/>
    <w:rsid w:val="001B0374"/>
    <w:rsid w:val="001B47B6"/>
    <w:rsid w:val="001B4C6C"/>
    <w:rsid w:val="001C27CA"/>
    <w:rsid w:val="001C4249"/>
    <w:rsid w:val="001C7DCE"/>
    <w:rsid w:val="001D18D6"/>
    <w:rsid w:val="001D3B2E"/>
    <w:rsid w:val="001D635F"/>
    <w:rsid w:val="001D776E"/>
    <w:rsid w:val="001D78CA"/>
    <w:rsid w:val="001E010C"/>
    <w:rsid w:val="001E0D42"/>
    <w:rsid w:val="001E3C76"/>
    <w:rsid w:val="001E43B7"/>
    <w:rsid w:val="00206CA7"/>
    <w:rsid w:val="0021193B"/>
    <w:rsid w:val="0021410C"/>
    <w:rsid w:val="002170CE"/>
    <w:rsid w:val="0022213A"/>
    <w:rsid w:val="002242FD"/>
    <w:rsid w:val="00226A2E"/>
    <w:rsid w:val="002276B2"/>
    <w:rsid w:val="00233024"/>
    <w:rsid w:val="00240360"/>
    <w:rsid w:val="0024363B"/>
    <w:rsid w:val="00246377"/>
    <w:rsid w:val="00250F2D"/>
    <w:rsid w:val="00252266"/>
    <w:rsid w:val="00255742"/>
    <w:rsid w:val="00260177"/>
    <w:rsid w:val="002700AF"/>
    <w:rsid w:val="00271BE4"/>
    <w:rsid w:val="002751BC"/>
    <w:rsid w:val="00277C40"/>
    <w:rsid w:val="002831BF"/>
    <w:rsid w:val="0029330F"/>
    <w:rsid w:val="002940C2"/>
    <w:rsid w:val="00294179"/>
    <w:rsid w:val="00294492"/>
    <w:rsid w:val="002B170B"/>
    <w:rsid w:val="002B1DAD"/>
    <w:rsid w:val="002B1E7D"/>
    <w:rsid w:val="002B2734"/>
    <w:rsid w:val="002B2EC9"/>
    <w:rsid w:val="002D0D4E"/>
    <w:rsid w:val="002D2D3B"/>
    <w:rsid w:val="002D3F1A"/>
    <w:rsid w:val="002E002D"/>
    <w:rsid w:val="002E1577"/>
    <w:rsid w:val="002E2772"/>
    <w:rsid w:val="002E2C06"/>
    <w:rsid w:val="002F25E5"/>
    <w:rsid w:val="002F41E8"/>
    <w:rsid w:val="002F57E0"/>
    <w:rsid w:val="002F62C2"/>
    <w:rsid w:val="00306725"/>
    <w:rsid w:val="003071D2"/>
    <w:rsid w:val="00312BAA"/>
    <w:rsid w:val="00314CB6"/>
    <w:rsid w:val="00315676"/>
    <w:rsid w:val="00316D46"/>
    <w:rsid w:val="003172AC"/>
    <w:rsid w:val="00325826"/>
    <w:rsid w:val="00330DE2"/>
    <w:rsid w:val="003372B9"/>
    <w:rsid w:val="003443EE"/>
    <w:rsid w:val="00354B2F"/>
    <w:rsid w:val="0036115D"/>
    <w:rsid w:val="00364092"/>
    <w:rsid w:val="003661B0"/>
    <w:rsid w:val="00373AFD"/>
    <w:rsid w:val="00373B9C"/>
    <w:rsid w:val="003763C3"/>
    <w:rsid w:val="003776C1"/>
    <w:rsid w:val="00392256"/>
    <w:rsid w:val="00392509"/>
    <w:rsid w:val="003A30B8"/>
    <w:rsid w:val="003A3F64"/>
    <w:rsid w:val="003A4DEC"/>
    <w:rsid w:val="003B0138"/>
    <w:rsid w:val="003B21A4"/>
    <w:rsid w:val="003C4115"/>
    <w:rsid w:val="003C7F75"/>
    <w:rsid w:val="003D2F88"/>
    <w:rsid w:val="003D72E5"/>
    <w:rsid w:val="003D7A7B"/>
    <w:rsid w:val="003F1D70"/>
    <w:rsid w:val="003F5136"/>
    <w:rsid w:val="00400718"/>
    <w:rsid w:val="0040161B"/>
    <w:rsid w:val="00404944"/>
    <w:rsid w:val="00411B6F"/>
    <w:rsid w:val="004151E8"/>
    <w:rsid w:val="004179A8"/>
    <w:rsid w:val="00421A2E"/>
    <w:rsid w:val="00422718"/>
    <w:rsid w:val="004227B9"/>
    <w:rsid w:val="004235C2"/>
    <w:rsid w:val="00423687"/>
    <w:rsid w:val="004250C6"/>
    <w:rsid w:val="00426019"/>
    <w:rsid w:val="004304CA"/>
    <w:rsid w:val="00430825"/>
    <w:rsid w:val="00433F72"/>
    <w:rsid w:val="0043465B"/>
    <w:rsid w:val="00436868"/>
    <w:rsid w:val="00437E59"/>
    <w:rsid w:val="0044754F"/>
    <w:rsid w:val="004506DE"/>
    <w:rsid w:val="00451A8D"/>
    <w:rsid w:val="00453D32"/>
    <w:rsid w:val="00462581"/>
    <w:rsid w:val="00463FCE"/>
    <w:rsid w:val="004717DE"/>
    <w:rsid w:val="00474864"/>
    <w:rsid w:val="00474F34"/>
    <w:rsid w:val="004765A3"/>
    <w:rsid w:val="00476DC9"/>
    <w:rsid w:val="00483785"/>
    <w:rsid w:val="00484955"/>
    <w:rsid w:val="00487B8C"/>
    <w:rsid w:val="004916BD"/>
    <w:rsid w:val="00495FFB"/>
    <w:rsid w:val="004A1C69"/>
    <w:rsid w:val="004A26C9"/>
    <w:rsid w:val="004B4221"/>
    <w:rsid w:val="004B496A"/>
    <w:rsid w:val="004C19FA"/>
    <w:rsid w:val="004D009F"/>
    <w:rsid w:val="004D16FE"/>
    <w:rsid w:val="004D2E57"/>
    <w:rsid w:val="004D52B1"/>
    <w:rsid w:val="004D5A1C"/>
    <w:rsid w:val="004D6074"/>
    <w:rsid w:val="005007AB"/>
    <w:rsid w:val="00502739"/>
    <w:rsid w:val="00523FBA"/>
    <w:rsid w:val="00524455"/>
    <w:rsid w:val="0052530C"/>
    <w:rsid w:val="00533596"/>
    <w:rsid w:val="005355E1"/>
    <w:rsid w:val="0053596A"/>
    <w:rsid w:val="005417C3"/>
    <w:rsid w:val="00542A95"/>
    <w:rsid w:val="0054380A"/>
    <w:rsid w:val="00551392"/>
    <w:rsid w:val="00551DBC"/>
    <w:rsid w:val="00551F5F"/>
    <w:rsid w:val="005534B0"/>
    <w:rsid w:val="00554185"/>
    <w:rsid w:val="00560D79"/>
    <w:rsid w:val="00561DF7"/>
    <w:rsid w:val="00563D9E"/>
    <w:rsid w:val="005701E9"/>
    <w:rsid w:val="00573FD5"/>
    <w:rsid w:val="0057579C"/>
    <w:rsid w:val="00581347"/>
    <w:rsid w:val="00582711"/>
    <w:rsid w:val="00582729"/>
    <w:rsid w:val="005829EA"/>
    <w:rsid w:val="00583125"/>
    <w:rsid w:val="005833A5"/>
    <w:rsid w:val="00590699"/>
    <w:rsid w:val="00590939"/>
    <w:rsid w:val="005917CF"/>
    <w:rsid w:val="00594DB3"/>
    <w:rsid w:val="005955B2"/>
    <w:rsid w:val="00595B21"/>
    <w:rsid w:val="005A079C"/>
    <w:rsid w:val="005A65CD"/>
    <w:rsid w:val="005A6696"/>
    <w:rsid w:val="005A72BD"/>
    <w:rsid w:val="005C1DE9"/>
    <w:rsid w:val="005C22D4"/>
    <w:rsid w:val="005C3B11"/>
    <w:rsid w:val="005C568E"/>
    <w:rsid w:val="005C7E1B"/>
    <w:rsid w:val="005D147D"/>
    <w:rsid w:val="005D4D70"/>
    <w:rsid w:val="005D71E0"/>
    <w:rsid w:val="005D7E0A"/>
    <w:rsid w:val="005E58C4"/>
    <w:rsid w:val="005E6477"/>
    <w:rsid w:val="005F144A"/>
    <w:rsid w:val="005F23F3"/>
    <w:rsid w:val="005F546B"/>
    <w:rsid w:val="006044AB"/>
    <w:rsid w:val="00605FE2"/>
    <w:rsid w:val="00611882"/>
    <w:rsid w:val="006124B8"/>
    <w:rsid w:val="0061610C"/>
    <w:rsid w:val="00625FC8"/>
    <w:rsid w:val="00634961"/>
    <w:rsid w:val="0063579A"/>
    <w:rsid w:val="00637821"/>
    <w:rsid w:val="00641CB2"/>
    <w:rsid w:val="006467CA"/>
    <w:rsid w:val="00656937"/>
    <w:rsid w:val="00656BCB"/>
    <w:rsid w:val="00665757"/>
    <w:rsid w:val="00666DDD"/>
    <w:rsid w:val="00667D4A"/>
    <w:rsid w:val="00670DAA"/>
    <w:rsid w:val="00671441"/>
    <w:rsid w:val="0067146A"/>
    <w:rsid w:val="006723E7"/>
    <w:rsid w:val="006724A4"/>
    <w:rsid w:val="00674EF6"/>
    <w:rsid w:val="006771C6"/>
    <w:rsid w:val="00677BEE"/>
    <w:rsid w:val="006818CF"/>
    <w:rsid w:val="006942A2"/>
    <w:rsid w:val="006A01B0"/>
    <w:rsid w:val="006A34E7"/>
    <w:rsid w:val="006A7CB8"/>
    <w:rsid w:val="006B5916"/>
    <w:rsid w:val="006C1DE1"/>
    <w:rsid w:val="006C3280"/>
    <w:rsid w:val="006C35A2"/>
    <w:rsid w:val="006C35C1"/>
    <w:rsid w:val="006C78CB"/>
    <w:rsid w:val="006D3217"/>
    <w:rsid w:val="00703109"/>
    <w:rsid w:val="0070787A"/>
    <w:rsid w:val="00711609"/>
    <w:rsid w:val="00716912"/>
    <w:rsid w:val="00726043"/>
    <w:rsid w:val="00726146"/>
    <w:rsid w:val="007273AF"/>
    <w:rsid w:val="007349D2"/>
    <w:rsid w:val="00741BB9"/>
    <w:rsid w:val="00741EC4"/>
    <w:rsid w:val="00745CFF"/>
    <w:rsid w:val="007514E9"/>
    <w:rsid w:val="0075734B"/>
    <w:rsid w:val="00761C11"/>
    <w:rsid w:val="007626F0"/>
    <w:rsid w:val="007630FE"/>
    <w:rsid w:val="007634F1"/>
    <w:rsid w:val="00763D9B"/>
    <w:rsid w:val="00765E91"/>
    <w:rsid w:val="00766B88"/>
    <w:rsid w:val="00770805"/>
    <w:rsid w:val="00773C45"/>
    <w:rsid w:val="007836BF"/>
    <w:rsid w:val="00783E20"/>
    <w:rsid w:val="007A4DD5"/>
    <w:rsid w:val="007A5FA8"/>
    <w:rsid w:val="007A73E1"/>
    <w:rsid w:val="007B16A6"/>
    <w:rsid w:val="007B41E6"/>
    <w:rsid w:val="007C0DA0"/>
    <w:rsid w:val="007C40C0"/>
    <w:rsid w:val="007C42D3"/>
    <w:rsid w:val="007D1B98"/>
    <w:rsid w:val="007D2F4E"/>
    <w:rsid w:val="007D3433"/>
    <w:rsid w:val="007D6078"/>
    <w:rsid w:val="007D65DA"/>
    <w:rsid w:val="007D6BE0"/>
    <w:rsid w:val="007D7447"/>
    <w:rsid w:val="007E4609"/>
    <w:rsid w:val="007E4EDA"/>
    <w:rsid w:val="007F34E7"/>
    <w:rsid w:val="007F3906"/>
    <w:rsid w:val="007F51F8"/>
    <w:rsid w:val="007F7394"/>
    <w:rsid w:val="00801244"/>
    <w:rsid w:val="00801D28"/>
    <w:rsid w:val="008040EE"/>
    <w:rsid w:val="00810007"/>
    <w:rsid w:val="008115C7"/>
    <w:rsid w:val="008162BC"/>
    <w:rsid w:val="00827BD0"/>
    <w:rsid w:val="00834F56"/>
    <w:rsid w:val="008400BA"/>
    <w:rsid w:val="008406BE"/>
    <w:rsid w:val="008440A3"/>
    <w:rsid w:val="00844D50"/>
    <w:rsid w:val="0084518A"/>
    <w:rsid w:val="0085054A"/>
    <w:rsid w:val="00850B73"/>
    <w:rsid w:val="00850C4C"/>
    <w:rsid w:val="00857850"/>
    <w:rsid w:val="00862328"/>
    <w:rsid w:val="00862F75"/>
    <w:rsid w:val="008639D5"/>
    <w:rsid w:val="00872874"/>
    <w:rsid w:val="00875BA0"/>
    <w:rsid w:val="0089014B"/>
    <w:rsid w:val="008A1A67"/>
    <w:rsid w:val="008A6B90"/>
    <w:rsid w:val="008B0F7D"/>
    <w:rsid w:val="008B2D5C"/>
    <w:rsid w:val="008B4423"/>
    <w:rsid w:val="008B4BF2"/>
    <w:rsid w:val="008C4326"/>
    <w:rsid w:val="008C5197"/>
    <w:rsid w:val="008C6D42"/>
    <w:rsid w:val="008D391A"/>
    <w:rsid w:val="008D3ACD"/>
    <w:rsid w:val="008E1661"/>
    <w:rsid w:val="008E2A01"/>
    <w:rsid w:val="008E3C5A"/>
    <w:rsid w:val="008F3B3C"/>
    <w:rsid w:val="0090599A"/>
    <w:rsid w:val="00910E41"/>
    <w:rsid w:val="00926EF0"/>
    <w:rsid w:val="009273FB"/>
    <w:rsid w:val="009333A4"/>
    <w:rsid w:val="00934E7A"/>
    <w:rsid w:val="009413C1"/>
    <w:rsid w:val="00944577"/>
    <w:rsid w:val="00944776"/>
    <w:rsid w:val="009456E8"/>
    <w:rsid w:val="0094574D"/>
    <w:rsid w:val="009503F8"/>
    <w:rsid w:val="00951BD6"/>
    <w:rsid w:val="00955B8D"/>
    <w:rsid w:val="00956E26"/>
    <w:rsid w:val="009612E9"/>
    <w:rsid w:val="00963962"/>
    <w:rsid w:val="00963BA9"/>
    <w:rsid w:val="00963CCA"/>
    <w:rsid w:val="00965A32"/>
    <w:rsid w:val="009670F5"/>
    <w:rsid w:val="00970954"/>
    <w:rsid w:val="00972280"/>
    <w:rsid w:val="00972BE2"/>
    <w:rsid w:val="00973073"/>
    <w:rsid w:val="00981945"/>
    <w:rsid w:val="0098333F"/>
    <w:rsid w:val="00986514"/>
    <w:rsid w:val="0099716B"/>
    <w:rsid w:val="009A1844"/>
    <w:rsid w:val="009A31D3"/>
    <w:rsid w:val="009A79D6"/>
    <w:rsid w:val="009B017B"/>
    <w:rsid w:val="009B0F10"/>
    <w:rsid w:val="009B5AB2"/>
    <w:rsid w:val="009C1461"/>
    <w:rsid w:val="009C426F"/>
    <w:rsid w:val="009C682D"/>
    <w:rsid w:val="009D457F"/>
    <w:rsid w:val="009F00C0"/>
    <w:rsid w:val="009F052B"/>
    <w:rsid w:val="009F38D5"/>
    <w:rsid w:val="009F5107"/>
    <w:rsid w:val="009F6907"/>
    <w:rsid w:val="00A02AAC"/>
    <w:rsid w:val="00A04938"/>
    <w:rsid w:val="00A0711A"/>
    <w:rsid w:val="00A071A1"/>
    <w:rsid w:val="00A10A77"/>
    <w:rsid w:val="00A12B5E"/>
    <w:rsid w:val="00A13CB7"/>
    <w:rsid w:val="00A24EB9"/>
    <w:rsid w:val="00A253CD"/>
    <w:rsid w:val="00A30340"/>
    <w:rsid w:val="00A32442"/>
    <w:rsid w:val="00A33893"/>
    <w:rsid w:val="00A351BC"/>
    <w:rsid w:val="00A4143A"/>
    <w:rsid w:val="00A46373"/>
    <w:rsid w:val="00A53ACD"/>
    <w:rsid w:val="00A5672F"/>
    <w:rsid w:val="00A7047A"/>
    <w:rsid w:val="00A70E1F"/>
    <w:rsid w:val="00A7181B"/>
    <w:rsid w:val="00A7293C"/>
    <w:rsid w:val="00A805FC"/>
    <w:rsid w:val="00A80F64"/>
    <w:rsid w:val="00A812F2"/>
    <w:rsid w:val="00A82674"/>
    <w:rsid w:val="00A83A76"/>
    <w:rsid w:val="00A86BB2"/>
    <w:rsid w:val="00A878FC"/>
    <w:rsid w:val="00A87A77"/>
    <w:rsid w:val="00A87B4E"/>
    <w:rsid w:val="00A90236"/>
    <w:rsid w:val="00A9186B"/>
    <w:rsid w:val="00AA4E88"/>
    <w:rsid w:val="00AA750A"/>
    <w:rsid w:val="00AB05F1"/>
    <w:rsid w:val="00AB77F5"/>
    <w:rsid w:val="00AC3A30"/>
    <w:rsid w:val="00AD0DB2"/>
    <w:rsid w:val="00AD0E90"/>
    <w:rsid w:val="00AD39A0"/>
    <w:rsid w:val="00AD516A"/>
    <w:rsid w:val="00AE274E"/>
    <w:rsid w:val="00AE5823"/>
    <w:rsid w:val="00AE5FCB"/>
    <w:rsid w:val="00AE655D"/>
    <w:rsid w:val="00AF1C66"/>
    <w:rsid w:val="00AF44C7"/>
    <w:rsid w:val="00AF451E"/>
    <w:rsid w:val="00AF4E57"/>
    <w:rsid w:val="00AF62EB"/>
    <w:rsid w:val="00AF6E02"/>
    <w:rsid w:val="00AF7A12"/>
    <w:rsid w:val="00AF7F46"/>
    <w:rsid w:val="00B00BA5"/>
    <w:rsid w:val="00B0162B"/>
    <w:rsid w:val="00B01E19"/>
    <w:rsid w:val="00B11BCD"/>
    <w:rsid w:val="00B1223C"/>
    <w:rsid w:val="00B1598A"/>
    <w:rsid w:val="00B16FD9"/>
    <w:rsid w:val="00B20F5F"/>
    <w:rsid w:val="00B2252D"/>
    <w:rsid w:val="00B255D7"/>
    <w:rsid w:val="00B25F03"/>
    <w:rsid w:val="00B3089B"/>
    <w:rsid w:val="00B42C13"/>
    <w:rsid w:val="00B52657"/>
    <w:rsid w:val="00B5343D"/>
    <w:rsid w:val="00B54F52"/>
    <w:rsid w:val="00B57C5A"/>
    <w:rsid w:val="00B619F2"/>
    <w:rsid w:val="00B677BF"/>
    <w:rsid w:val="00B7305E"/>
    <w:rsid w:val="00B75ABE"/>
    <w:rsid w:val="00B7713E"/>
    <w:rsid w:val="00B77633"/>
    <w:rsid w:val="00B80DF6"/>
    <w:rsid w:val="00B82252"/>
    <w:rsid w:val="00B84D6A"/>
    <w:rsid w:val="00B962DD"/>
    <w:rsid w:val="00B96D38"/>
    <w:rsid w:val="00BA2792"/>
    <w:rsid w:val="00BA40B4"/>
    <w:rsid w:val="00BA5A90"/>
    <w:rsid w:val="00BB7265"/>
    <w:rsid w:val="00BC28F8"/>
    <w:rsid w:val="00BC3246"/>
    <w:rsid w:val="00BC56B6"/>
    <w:rsid w:val="00BD6167"/>
    <w:rsid w:val="00BE51B5"/>
    <w:rsid w:val="00BF035A"/>
    <w:rsid w:val="00BF26E7"/>
    <w:rsid w:val="00BF528F"/>
    <w:rsid w:val="00BF696C"/>
    <w:rsid w:val="00BF77EE"/>
    <w:rsid w:val="00BF78EC"/>
    <w:rsid w:val="00C06613"/>
    <w:rsid w:val="00C11FF6"/>
    <w:rsid w:val="00C1322F"/>
    <w:rsid w:val="00C13232"/>
    <w:rsid w:val="00C20C4E"/>
    <w:rsid w:val="00C22D83"/>
    <w:rsid w:val="00C417E6"/>
    <w:rsid w:val="00C423A3"/>
    <w:rsid w:val="00C50612"/>
    <w:rsid w:val="00C507F3"/>
    <w:rsid w:val="00C51D7E"/>
    <w:rsid w:val="00C521FC"/>
    <w:rsid w:val="00C5509C"/>
    <w:rsid w:val="00C57A2D"/>
    <w:rsid w:val="00C62A29"/>
    <w:rsid w:val="00C654A0"/>
    <w:rsid w:val="00C70C24"/>
    <w:rsid w:val="00C713C4"/>
    <w:rsid w:val="00C73265"/>
    <w:rsid w:val="00C80F9C"/>
    <w:rsid w:val="00C81CDA"/>
    <w:rsid w:val="00C82AE7"/>
    <w:rsid w:val="00C84DE4"/>
    <w:rsid w:val="00C8668B"/>
    <w:rsid w:val="00C9260B"/>
    <w:rsid w:val="00CA359D"/>
    <w:rsid w:val="00CB00EE"/>
    <w:rsid w:val="00CB251B"/>
    <w:rsid w:val="00CB2D60"/>
    <w:rsid w:val="00CB4448"/>
    <w:rsid w:val="00CC0404"/>
    <w:rsid w:val="00CC0C3A"/>
    <w:rsid w:val="00CC0E9F"/>
    <w:rsid w:val="00CC1CB5"/>
    <w:rsid w:val="00CD0EF0"/>
    <w:rsid w:val="00CF4B1D"/>
    <w:rsid w:val="00CF656A"/>
    <w:rsid w:val="00CF793E"/>
    <w:rsid w:val="00D02860"/>
    <w:rsid w:val="00D031F0"/>
    <w:rsid w:val="00D16DA2"/>
    <w:rsid w:val="00D17033"/>
    <w:rsid w:val="00D20C6F"/>
    <w:rsid w:val="00D23065"/>
    <w:rsid w:val="00D27D7F"/>
    <w:rsid w:val="00D461B2"/>
    <w:rsid w:val="00D47093"/>
    <w:rsid w:val="00D47F3F"/>
    <w:rsid w:val="00D512DD"/>
    <w:rsid w:val="00D604F1"/>
    <w:rsid w:val="00D61E86"/>
    <w:rsid w:val="00D63420"/>
    <w:rsid w:val="00D64B28"/>
    <w:rsid w:val="00D73576"/>
    <w:rsid w:val="00D75D14"/>
    <w:rsid w:val="00D82E4A"/>
    <w:rsid w:val="00D85B66"/>
    <w:rsid w:val="00D9119B"/>
    <w:rsid w:val="00DA3D68"/>
    <w:rsid w:val="00DA663F"/>
    <w:rsid w:val="00DB0B67"/>
    <w:rsid w:val="00DB24EA"/>
    <w:rsid w:val="00DB4817"/>
    <w:rsid w:val="00DB76AA"/>
    <w:rsid w:val="00DB7E76"/>
    <w:rsid w:val="00DC1895"/>
    <w:rsid w:val="00DC7B19"/>
    <w:rsid w:val="00DD771B"/>
    <w:rsid w:val="00DE7161"/>
    <w:rsid w:val="00DF1059"/>
    <w:rsid w:val="00DF1C2A"/>
    <w:rsid w:val="00DF3B53"/>
    <w:rsid w:val="00DF7EBE"/>
    <w:rsid w:val="00E03E6A"/>
    <w:rsid w:val="00E05D72"/>
    <w:rsid w:val="00E10BC4"/>
    <w:rsid w:val="00E1794B"/>
    <w:rsid w:val="00E20166"/>
    <w:rsid w:val="00E23CD1"/>
    <w:rsid w:val="00E23E70"/>
    <w:rsid w:val="00E251A8"/>
    <w:rsid w:val="00E25333"/>
    <w:rsid w:val="00E335E9"/>
    <w:rsid w:val="00E40B5B"/>
    <w:rsid w:val="00E44D37"/>
    <w:rsid w:val="00E50B8C"/>
    <w:rsid w:val="00E546ED"/>
    <w:rsid w:val="00E621A4"/>
    <w:rsid w:val="00E64255"/>
    <w:rsid w:val="00E70125"/>
    <w:rsid w:val="00E7232A"/>
    <w:rsid w:val="00E753B5"/>
    <w:rsid w:val="00E83CD9"/>
    <w:rsid w:val="00E85014"/>
    <w:rsid w:val="00E900A4"/>
    <w:rsid w:val="00E916CD"/>
    <w:rsid w:val="00E958F7"/>
    <w:rsid w:val="00E97860"/>
    <w:rsid w:val="00EA4E96"/>
    <w:rsid w:val="00EB538E"/>
    <w:rsid w:val="00EC6161"/>
    <w:rsid w:val="00ED25E7"/>
    <w:rsid w:val="00ED677C"/>
    <w:rsid w:val="00ED6BEC"/>
    <w:rsid w:val="00EE15C3"/>
    <w:rsid w:val="00EF2E87"/>
    <w:rsid w:val="00EF3186"/>
    <w:rsid w:val="00F01368"/>
    <w:rsid w:val="00F025B4"/>
    <w:rsid w:val="00F06327"/>
    <w:rsid w:val="00F1344A"/>
    <w:rsid w:val="00F224C6"/>
    <w:rsid w:val="00F25ED2"/>
    <w:rsid w:val="00F264DD"/>
    <w:rsid w:val="00F42764"/>
    <w:rsid w:val="00F42CD2"/>
    <w:rsid w:val="00F43827"/>
    <w:rsid w:val="00F461E7"/>
    <w:rsid w:val="00F463D1"/>
    <w:rsid w:val="00F565D5"/>
    <w:rsid w:val="00F658A8"/>
    <w:rsid w:val="00F661B7"/>
    <w:rsid w:val="00F66F6F"/>
    <w:rsid w:val="00F809AF"/>
    <w:rsid w:val="00F862FD"/>
    <w:rsid w:val="00F91221"/>
    <w:rsid w:val="00F927F0"/>
    <w:rsid w:val="00F93463"/>
    <w:rsid w:val="00FA2526"/>
    <w:rsid w:val="00FA2C28"/>
    <w:rsid w:val="00FA4A93"/>
    <w:rsid w:val="00FB1ECC"/>
    <w:rsid w:val="00FB51CF"/>
    <w:rsid w:val="00FB53E3"/>
    <w:rsid w:val="00FB7990"/>
    <w:rsid w:val="00FC3AD0"/>
    <w:rsid w:val="00FC3E1D"/>
    <w:rsid w:val="00FC7677"/>
    <w:rsid w:val="00FD17D6"/>
    <w:rsid w:val="00FE363D"/>
    <w:rsid w:val="00FF51B4"/>
    <w:rsid w:val="00FF7EC8"/>
    <w:rsid w:val="076CDB70"/>
    <w:rsid w:val="10B81673"/>
    <w:rsid w:val="114619BA"/>
    <w:rsid w:val="1202E01E"/>
    <w:rsid w:val="1782EDAD"/>
    <w:rsid w:val="1A1BB182"/>
    <w:rsid w:val="1B7A3905"/>
    <w:rsid w:val="1C3D0354"/>
    <w:rsid w:val="1D4D57BC"/>
    <w:rsid w:val="20B85AA1"/>
    <w:rsid w:val="210AA063"/>
    <w:rsid w:val="21397C2B"/>
    <w:rsid w:val="237E0641"/>
    <w:rsid w:val="24A6ABCE"/>
    <w:rsid w:val="2A0609B8"/>
    <w:rsid w:val="2A0F63BE"/>
    <w:rsid w:val="2AF82162"/>
    <w:rsid w:val="2C5BFD0F"/>
    <w:rsid w:val="2D1FB70A"/>
    <w:rsid w:val="31AA2B7A"/>
    <w:rsid w:val="322C9A38"/>
    <w:rsid w:val="32F834F0"/>
    <w:rsid w:val="3332DD87"/>
    <w:rsid w:val="33F9BB01"/>
    <w:rsid w:val="3CE328B9"/>
    <w:rsid w:val="3D730822"/>
    <w:rsid w:val="471F2F2E"/>
    <w:rsid w:val="486E952B"/>
    <w:rsid w:val="4F241978"/>
    <w:rsid w:val="4F6155F2"/>
    <w:rsid w:val="519776E6"/>
    <w:rsid w:val="5FA1D48F"/>
    <w:rsid w:val="6438F57C"/>
    <w:rsid w:val="68D412A6"/>
    <w:rsid w:val="697924B8"/>
    <w:rsid w:val="6C246DAE"/>
    <w:rsid w:val="6F247144"/>
    <w:rsid w:val="708EC71F"/>
    <w:rsid w:val="74C074ED"/>
    <w:rsid w:val="7572B992"/>
    <w:rsid w:val="76C937CF"/>
    <w:rsid w:val="775410A1"/>
    <w:rsid w:val="7BA0A04F"/>
    <w:rsid w:val="7F4ED3E6"/>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7E0E89"/>
  <w15:docId w15:val="{4785701D-AFBC-4D35-BC4D-F07D0DB1F2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ca-ES" w:eastAsia="ca-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ol1">
    <w:name w:val="heading 1"/>
    <w:uiPriority w:val="9"/>
    <w:qFormat/>
    <w:pPr>
      <w:spacing w:before="360" w:after="180"/>
      <w:outlineLvl w:val="0"/>
    </w:pPr>
    <w:rPr>
      <w:b/>
      <w:bCs/>
      <w:sz w:val="24"/>
      <w:szCs w:val="24"/>
    </w:rPr>
  </w:style>
  <w:style w:type="paragraph" w:styleId="Ttol2">
    <w:name w:val="heading 2"/>
    <w:uiPriority w:val="9"/>
    <w:unhideWhenUsed/>
    <w:qFormat/>
    <w:pPr>
      <w:spacing w:before="240" w:after="120"/>
      <w:outlineLvl w:val="1"/>
    </w:pPr>
    <w:rPr>
      <w:b/>
      <w:bCs/>
      <w:sz w:val="22"/>
      <w:szCs w:val="22"/>
    </w:rPr>
  </w:style>
  <w:style w:type="paragraph" w:styleId="Ttol3">
    <w:name w:val="heading 3"/>
    <w:uiPriority w:val="9"/>
    <w:semiHidden/>
    <w:unhideWhenUsed/>
    <w:qFormat/>
    <w:pPr>
      <w:spacing w:before="200" w:after="80"/>
      <w:outlineLvl w:val="2"/>
    </w:pPr>
    <w:rPr>
      <w:b/>
      <w:bCs/>
      <w:i/>
      <w:iCs/>
    </w:rPr>
  </w:style>
  <w:style w:type="paragraph" w:styleId="Ttol4">
    <w:name w:val="heading 4"/>
    <w:uiPriority w:val="9"/>
    <w:semiHidden/>
    <w:unhideWhenUsed/>
    <w:qFormat/>
    <w:pPr>
      <w:outlineLvl w:val="3"/>
    </w:pPr>
    <w:rPr>
      <w:i/>
      <w:iCs/>
      <w:color w:val="2E74B5"/>
    </w:rPr>
  </w:style>
  <w:style w:type="paragraph" w:styleId="Ttol5">
    <w:name w:val="heading 5"/>
    <w:uiPriority w:val="9"/>
    <w:semiHidden/>
    <w:unhideWhenUsed/>
    <w:qFormat/>
    <w:pPr>
      <w:outlineLvl w:val="4"/>
    </w:pPr>
    <w:rPr>
      <w:color w:val="2E74B5"/>
    </w:rPr>
  </w:style>
  <w:style w:type="paragraph" w:styleId="Ttol6">
    <w:name w:val="heading 6"/>
    <w:uiPriority w:val="9"/>
    <w:semiHidden/>
    <w:unhideWhenUsed/>
    <w:qFormat/>
    <w:pPr>
      <w:outlineLvl w:val="5"/>
    </w:pPr>
    <w:rPr>
      <w:color w:val="1F4D78"/>
    </w:rPr>
  </w:style>
  <w:style w:type="character" w:default="1" w:styleId="Lletraperdefectedelpargraf">
    <w:name w:val="Default Paragraph Font"/>
    <w:uiPriority w:val="1"/>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Ttol">
    <w:name w:val="Title"/>
    <w:uiPriority w:val="10"/>
    <w:qFormat/>
    <w:rPr>
      <w:sz w:val="56"/>
      <w:szCs w:val="56"/>
    </w:rPr>
  </w:style>
  <w:style w:type="paragraph" w:customStyle="1" w:styleId="Textennegreta1">
    <w:name w:val="Text en negreta1"/>
    <w:qFormat/>
    <w:rPr>
      <w:b/>
      <w:bCs/>
    </w:rPr>
  </w:style>
  <w:style w:type="paragraph" w:styleId="Pargrafdellista">
    <w:name w:val="List Paragraph"/>
    <w:qFormat/>
  </w:style>
  <w:style w:type="character" w:styleId="Enlla">
    <w:name w:val="Hyperlink"/>
    <w:uiPriority w:val="99"/>
    <w:unhideWhenUsed/>
    <w:rPr>
      <w:color w:val="0563C1"/>
      <w:u w:val="single"/>
    </w:rPr>
  </w:style>
  <w:style w:type="character" w:styleId="Refernciadenotaapeudepgina">
    <w:name w:val="footnote reference"/>
    <w:uiPriority w:val="99"/>
    <w:semiHidden/>
    <w:unhideWhenUsed/>
    <w:rPr>
      <w:vertAlign w:val="superscript"/>
    </w:rPr>
  </w:style>
  <w:style w:type="paragraph" w:styleId="Textdenotaapeudepgina">
    <w:name w:val="footnote text"/>
    <w:link w:val="TextdenotaapeudepginaCar"/>
    <w:uiPriority w:val="99"/>
    <w:semiHidden/>
    <w:unhideWhenUsed/>
  </w:style>
  <w:style w:type="character" w:customStyle="1" w:styleId="TextdenotaapeudepginaCar">
    <w:name w:val="Text de nota a peu de pàgina Car"/>
    <w:link w:val="Textdenotaapeudepgina"/>
    <w:uiPriority w:val="99"/>
    <w:semiHidden/>
    <w:unhideWhenUsed/>
    <w:rPr>
      <w:sz w:val="20"/>
      <w:szCs w:val="20"/>
    </w:rPr>
  </w:style>
  <w:style w:type="table" w:styleId="Taulaambquadrcula1clara">
    <w:name w:val="Grid Table 1 Light"/>
    <w:basedOn w:val="Taulanormal"/>
    <w:uiPriority w:val="46"/>
    <w:rsid w:val="00E7232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alera">
    <w:name w:val="header"/>
    <w:basedOn w:val="Normal"/>
    <w:link w:val="CapaleraCar"/>
    <w:uiPriority w:val="99"/>
    <w:unhideWhenUsed/>
    <w:rsid w:val="00B11BCD"/>
    <w:pPr>
      <w:tabs>
        <w:tab w:val="center" w:pos="4252"/>
        <w:tab w:val="right" w:pos="8504"/>
      </w:tabs>
    </w:pPr>
  </w:style>
  <w:style w:type="character" w:customStyle="1" w:styleId="CapaleraCar">
    <w:name w:val="Capçalera Car"/>
    <w:basedOn w:val="Lletraperdefectedelpargraf"/>
    <w:link w:val="Capalera"/>
    <w:uiPriority w:val="99"/>
    <w:rsid w:val="00B11BCD"/>
  </w:style>
  <w:style w:type="paragraph" w:styleId="Peu">
    <w:name w:val="footer"/>
    <w:basedOn w:val="Normal"/>
    <w:link w:val="PeuCar"/>
    <w:uiPriority w:val="99"/>
    <w:unhideWhenUsed/>
    <w:rsid w:val="00B11BCD"/>
    <w:pPr>
      <w:tabs>
        <w:tab w:val="center" w:pos="4252"/>
        <w:tab w:val="right" w:pos="8504"/>
      </w:tabs>
    </w:pPr>
  </w:style>
  <w:style w:type="character" w:customStyle="1" w:styleId="PeuCar">
    <w:name w:val="Peu Car"/>
    <w:basedOn w:val="Lletraperdefectedelpargraf"/>
    <w:link w:val="Peu"/>
    <w:uiPriority w:val="99"/>
    <w:rsid w:val="00B11BCD"/>
  </w:style>
  <w:style w:type="character" w:styleId="Refernciadecomentari">
    <w:name w:val="annotation reference"/>
    <w:basedOn w:val="Lletraperdefectedelpargraf"/>
    <w:uiPriority w:val="99"/>
    <w:semiHidden/>
    <w:unhideWhenUsed/>
    <w:rsid w:val="000F01D1"/>
    <w:rPr>
      <w:sz w:val="16"/>
      <w:szCs w:val="16"/>
    </w:rPr>
  </w:style>
  <w:style w:type="paragraph" w:styleId="Textdecomentari">
    <w:name w:val="annotation text"/>
    <w:basedOn w:val="Normal"/>
    <w:link w:val="TextdecomentariCar"/>
    <w:uiPriority w:val="99"/>
    <w:unhideWhenUsed/>
    <w:rsid w:val="000F01D1"/>
  </w:style>
  <w:style w:type="character" w:customStyle="1" w:styleId="TextdecomentariCar">
    <w:name w:val="Text de comentari Car"/>
    <w:basedOn w:val="Lletraperdefectedelpargraf"/>
    <w:link w:val="Textdecomentari"/>
    <w:uiPriority w:val="99"/>
    <w:rsid w:val="000F01D1"/>
  </w:style>
  <w:style w:type="paragraph" w:styleId="Temadelcomentari">
    <w:name w:val="annotation subject"/>
    <w:basedOn w:val="Textdecomentari"/>
    <w:next w:val="Textdecomentari"/>
    <w:link w:val="TemadelcomentariCar"/>
    <w:uiPriority w:val="99"/>
    <w:semiHidden/>
    <w:unhideWhenUsed/>
    <w:rsid w:val="000F01D1"/>
    <w:rPr>
      <w:b/>
      <w:bCs/>
    </w:rPr>
  </w:style>
  <w:style w:type="character" w:customStyle="1" w:styleId="TemadelcomentariCar">
    <w:name w:val="Tema del comentari Car"/>
    <w:basedOn w:val="TextdecomentariCar"/>
    <w:link w:val="Temadelcomentari"/>
    <w:uiPriority w:val="99"/>
    <w:semiHidden/>
    <w:rsid w:val="000F01D1"/>
    <w:rPr>
      <w:b/>
      <w:bCs/>
    </w:rPr>
  </w:style>
  <w:style w:type="character" w:styleId="Mencisenseresoldre">
    <w:name w:val="Unresolved Mention"/>
    <w:basedOn w:val="Lletraperdefectedelpargraf"/>
    <w:uiPriority w:val="99"/>
    <w:semiHidden/>
    <w:unhideWhenUsed/>
    <w:rsid w:val="009F38D5"/>
    <w:rPr>
      <w:color w:val="605E5C"/>
      <w:shd w:val="clear" w:color="auto" w:fill="E1DFDD"/>
    </w:rPr>
  </w:style>
  <w:style w:type="paragraph" w:styleId="Revisi">
    <w:name w:val="Revision"/>
    <w:hidden/>
    <w:uiPriority w:val="99"/>
    <w:semiHidden/>
    <w:rsid w:val="00AF451E"/>
  </w:style>
  <w:style w:type="paragraph" w:styleId="Bibliografia">
    <w:name w:val="Bibliography"/>
    <w:basedOn w:val="Normal"/>
    <w:next w:val="Normal"/>
    <w:uiPriority w:val="37"/>
    <w:unhideWhenUsed/>
    <w:rsid w:val="00F463D1"/>
    <w:pPr>
      <w:ind w:left="720" w:hanging="720"/>
    </w:pPr>
  </w:style>
  <w:style w:type="character" w:styleId="Nmerodelnia">
    <w:name w:val="line number"/>
    <w:basedOn w:val="Lletraperdefectedelpargraf"/>
    <w:uiPriority w:val="99"/>
    <w:semiHidden/>
    <w:unhideWhenUsed/>
    <w:rsid w:val="00CF4B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227589">
      <w:bodyDiv w:val="1"/>
      <w:marLeft w:val="0"/>
      <w:marRight w:val="0"/>
      <w:marTop w:val="0"/>
      <w:marBottom w:val="0"/>
      <w:divBdr>
        <w:top w:val="none" w:sz="0" w:space="0" w:color="auto"/>
        <w:left w:val="none" w:sz="0" w:space="0" w:color="auto"/>
        <w:bottom w:val="none" w:sz="0" w:space="0" w:color="auto"/>
        <w:right w:val="none" w:sz="0" w:space="0" w:color="auto"/>
      </w:divBdr>
      <w:divsChild>
        <w:div w:id="1663896153">
          <w:marLeft w:val="0"/>
          <w:marRight w:val="0"/>
          <w:marTop w:val="0"/>
          <w:marBottom w:val="0"/>
          <w:divBdr>
            <w:top w:val="none" w:sz="0" w:space="0" w:color="auto"/>
            <w:left w:val="none" w:sz="0" w:space="0" w:color="auto"/>
            <w:bottom w:val="none" w:sz="0" w:space="0" w:color="auto"/>
            <w:right w:val="none" w:sz="0" w:space="0" w:color="auto"/>
          </w:divBdr>
        </w:div>
      </w:divsChild>
    </w:div>
    <w:div w:id="874271881">
      <w:bodyDiv w:val="1"/>
      <w:marLeft w:val="0"/>
      <w:marRight w:val="0"/>
      <w:marTop w:val="0"/>
      <w:marBottom w:val="0"/>
      <w:divBdr>
        <w:top w:val="none" w:sz="0" w:space="0" w:color="auto"/>
        <w:left w:val="none" w:sz="0" w:space="0" w:color="auto"/>
        <w:bottom w:val="none" w:sz="0" w:space="0" w:color="auto"/>
        <w:right w:val="none" w:sz="0" w:space="0" w:color="auto"/>
      </w:divBdr>
      <w:divsChild>
        <w:div w:id="1019235441">
          <w:marLeft w:val="0"/>
          <w:marRight w:val="0"/>
          <w:marTop w:val="0"/>
          <w:marBottom w:val="0"/>
          <w:divBdr>
            <w:top w:val="none" w:sz="0" w:space="0" w:color="auto"/>
            <w:left w:val="none" w:sz="0" w:space="0" w:color="auto"/>
            <w:bottom w:val="none" w:sz="0" w:space="0" w:color="auto"/>
            <w:right w:val="none" w:sz="0" w:space="0" w:color="auto"/>
          </w:divBdr>
        </w:div>
      </w:divsChild>
    </w:div>
    <w:div w:id="917248824">
      <w:bodyDiv w:val="1"/>
      <w:marLeft w:val="0"/>
      <w:marRight w:val="0"/>
      <w:marTop w:val="0"/>
      <w:marBottom w:val="0"/>
      <w:divBdr>
        <w:top w:val="none" w:sz="0" w:space="0" w:color="auto"/>
        <w:left w:val="none" w:sz="0" w:space="0" w:color="auto"/>
        <w:bottom w:val="none" w:sz="0" w:space="0" w:color="auto"/>
        <w:right w:val="none" w:sz="0" w:space="0" w:color="auto"/>
      </w:divBdr>
      <w:divsChild>
        <w:div w:id="2023776801">
          <w:marLeft w:val="0"/>
          <w:marRight w:val="0"/>
          <w:marTop w:val="0"/>
          <w:marBottom w:val="0"/>
          <w:divBdr>
            <w:top w:val="none" w:sz="0" w:space="0" w:color="auto"/>
            <w:left w:val="none" w:sz="0" w:space="0" w:color="auto"/>
            <w:bottom w:val="none" w:sz="0" w:space="0" w:color="auto"/>
            <w:right w:val="none" w:sz="0" w:space="0" w:color="auto"/>
          </w:divBdr>
        </w:div>
        <w:div w:id="831139845">
          <w:marLeft w:val="0"/>
          <w:marRight w:val="0"/>
          <w:marTop w:val="0"/>
          <w:marBottom w:val="0"/>
          <w:divBdr>
            <w:top w:val="none" w:sz="0" w:space="0" w:color="auto"/>
            <w:left w:val="none" w:sz="0" w:space="0" w:color="auto"/>
            <w:bottom w:val="none" w:sz="0" w:space="0" w:color="auto"/>
            <w:right w:val="none" w:sz="0" w:space="0" w:color="auto"/>
          </w:divBdr>
        </w:div>
        <w:div w:id="1239949239">
          <w:marLeft w:val="0"/>
          <w:marRight w:val="0"/>
          <w:marTop w:val="0"/>
          <w:marBottom w:val="0"/>
          <w:divBdr>
            <w:top w:val="none" w:sz="0" w:space="0" w:color="auto"/>
            <w:left w:val="none" w:sz="0" w:space="0" w:color="auto"/>
            <w:bottom w:val="none" w:sz="0" w:space="0" w:color="auto"/>
            <w:right w:val="none" w:sz="0" w:space="0" w:color="auto"/>
          </w:divBdr>
        </w:div>
        <w:div w:id="790974979">
          <w:marLeft w:val="0"/>
          <w:marRight w:val="0"/>
          <w:marTop w:val="0"/>
          <w:marBottom w:val="0"/>
          <w:divBdr>
            <w:top w:val="none" w:sz="0" w:space="0" w:color="auto"/>
            <w:left w:val="none" w:sz="0" w:space="0" w:color="auto"/>
            <w:bottom w:val="none" w:sz="0" w:space="0" w:color="auto"/>
            <w:right w:val="none" w:sz="0" w:space="0" w:color="auto"/>
          </w:divBdr>
        </w:div>
        <w:div w:id="1454858626">
          <w:marLeft w:val="0"/>
          <w:marRight w:val="0"/>
          <w:marTop w:val="0"/>
          <w:marBottom w:val="0"/>
          <w:divBdr>
            <w:top w:val="none" w:sz="0" w:space="0" w:color="auto"/>
            <w:left w:val="none" w:sz="0" w:space="0" w:color="auto"/>
            <w:bottom w:val="none" w:sz="0" w:space="0" w:color="auto"/>
            <w:right w:val="none" w:sz="0" w:space="0" w:color="auto"/>
          </w:divBdr>
        </w:div>
        <w:div w:id="1778401044">
          <w:marLeft w:val="0"/>
          <w:marRight w:val="0"/>
          <w:marTop w:val="0"/>
          <w:marBottom w:val="0"/>
          <w:divBdr>
            <w:top w:val="none" w:sz="0" w:space="0" w:color="auto"/>
            <w:left w:val="none" w:sz="0" w:space="0" w:color="auto"/>
            <w:bottom w:val="none" w:sz="0" w:space="0" w:color="auto"/>
            <w:right w:val="none" w:sz="0" w:space="0" w:color="auto"/>
          </w:divBdr>
        </w:div>
        <w:div w:id="2081319994">
          <w:marLeft w:val="0"/>
          <w:marRight w:val="0"/>
          <w:marTop w:val="0"/>
          <w:marBottom w:val="0"/>
          <w:divBdr>
            <w:top w:val="none" w:sz="0" w:space="0" w:color="auto"/>
            <w:left w:val="none" w:sz="0" w:space="0" w:color="auto"/>
            <w:bottom w:val="none" w:sz="0" w:space="0" w:color="auto"/>
            <w:right w:val="none" w:sz="0" w:space="0" w:color="auto"/>
          </w:divBdr>
        </w:div>
        <w:div w:id="56250627">
          <w:marLeft w:val="0"/>
          <w:marRight w:val="0"/>
          <w:marTop w:val="0"/>
          <w:marBottom w:val="0"/>
          <w:divBdr>
            <w:top w:val="none" w:sz="0" w:space="0" w:color="auto"/>
            <w:left w:val="none" w:sz="0" w:space="0" w:color="auto"/>
            <w:bottom w:val="none" w:sz="0" w:space="0" w:color="auto"/>
            <w:right w:val="none" w:sz="0" w:space="0" w:color="auto"/>
          </w:divBdr>
        </w:div>
        <w:div w:id="2073499512">
          <w:marLeft w:val="0"/>
          <w:marRight w:val="0"/>
          <w:marTop w:val="0"/>
          <w:marBottom w:val="0"/>
          <w:divBdr>
            <w:top w:val="none" w:sz="0" w:space="0" w:color="auto"/>
            <w:left w:val="none" w:sz="0" w:space="0" w:color="auto"/>
            <w:bottom w:val="none" w:sz="0" w:space="0" w:color="auto"/>
            <w:right w:val="none" w:sz="0" w:space="0" w:color="auto"/>
          </w:divBdr>
        </w:div>
        <w:div w:id="1741520350">
          <w:marLeft w:val="0"/>
          <w:marRight w:val="0"/>
          <w:marTop w:val="0"/>
          <w:marBottom w:val="0"/>
          <w:divBdr>
            <w:top w:val="none" w:sz="0" w:space="0" w:color="auto"/>
            <w:left w:val="none" w:sz="0" w:space="0" w:color="auto"/>
            <w:bottom w:val="none" w:sz="0" w:space="0" w:color="auto"/>
            <w:right w:val="none" w:sz="0" w:space="0" w:color="auto"/>
          </w:divBdr>
        </w:div>
        <w:div w:id="1555040138">
          <w:marLeft w:val="0"/>
          <w:marRight w:val="0"/>
          <w:marTop w:val="0"/>
          <w:marBottom w:val="0"/>
          <w:divBdr>
            <w:top w:val="none" w:sz="0" w:space="0" w:color="auto"/>
            <w:left w:val="none" w:sz="0" w:space="0" w:color="auto"/>
            <w:bottom w:val="none" w:sz="0" w:space="0" w:color="auto"/>
            <w:right w:val="none" w:sz="0" w:space="0" w:color="auto"/>
          </w:divBdr>
        </w:div>
      </w:divsChild>
    </w:div>
    <w:div w:id="939144652">
      <w:bodyDiv w:val="1"/>
      <w:marLeft w:val="0"/>
      <w:marRight w:val="0"/>
      <w:marTop w:val="0"/>
      <w:marBottom w:val="0"/>
      <w:divBdr>
        <w:top w:val="none" w:sz="0" w:space="0" w:color="auto"/>
        <w:left w:val="none" w:sz="0" w:space="0" w:color="auto"/>
        <w:bottom w:val="none" w:sz="0" w:space="0" w:color="auto"/>
        <w:right w:val="none" w:sz="0" w:space="0" w:color="auto"/>
      </w:divBdr>
      <w:divsChild>
        <w:div w:id="791747146">
          <w:marLeft w:val="0"/>
          <w:marRight w:val="0"/>
          <w:marTop w:val="0"/>
          <w:marBottom w:val="0"/>
          <w:divBdr>
            <w:top w:val="none" w:sz="0" w:space="0" w:color="auto"/>
            <w:left w:val="none" w:sz="0" w:space="0" w:color="auto"/>
            <w:bottom w:val="none" w:sz="0" w:space="0" w:color="auto"/>
            <w:right w:val="none" w:sz="0" w:space="0" w:color="auto"/>
          </w:divBdr>
        </w:div>
        <w:div w:id="443228119">
          <w:marLeft w:val="0"/>
          <w:marRight w:val="0"/>
          <w:marTop w:val="0"/>
          <w:marBottom w:val="0"/>
          <w:divBdr>
            <w:top w:val="none" w:sz="0" w:space="0" w:color="auto"/>
            <w:left w:val="none" w:sz="0" w:space="0" w:color="auto"/>
            <w:bottom w:val="none" w:sz="0" w:space="0" w:color="auto"/>
            <w:right w:val="none" w:sz="0" w:space="0" w:color="auto"/>
          </w:divBdr>
        </w:div>
        <w:div w:id="12152113">
          <w:marLeft w:val="0"/>
          <w:marRight w:val="0"/>
          <w:marTop w:val="0"/>
          <w:marBottom w:val="0"/>
          <w:divBdr>
            <w:top w:val="none" w:sz="0" w:space="0" w:color="auto"/>
            <w:left w:val="none" w:sz="0" w:space="0" w:color="auto"/>
            <w:bottom w:val="none" w:sz="0" w:space="0" w:color="auto"/>
            <w:right w:val="none" w:sz="0" w:space="0" w:color="auto"/>
          </w:divBdr>
        </w:div>
        <w:div w:id="538204414">
          <w:marLeft w:val="0"/>
          <w:marRight w:val="0"/>
          <w:marTop w:val="0"/>
          <w:marBottom w:val="0"/>
          <w:divBdr>
            <w:top w:val="none" w:sz="0" w:space="0" w:color="auto"/>
            <w:left w:val="none" w:sz="0" w:space="0" w:color="auto"/>
            <w:bottom w:val="none" w:sz="0" w:space="0" w:color="auto"/>
            <w:right w:val="none" w:sz="0" w:space="0" w:color="auto"/>
          </w:divBdr>
        </w:div>
        <w:div w:id="801315128">
          <w:marLeft w:val="0"/>
          <w:marRight w:val="0"/>
          <w:marTop w:val="0"/>
          <w:marBottom w:val="0"/>
          <w:divBdr>
            <w:top w:val="none" w:sz="0" w:space="0" w:color="auto"/>
            <w:left w:val="none" w:sz="0" w:space="0" w:color="auto"/>
            <w:bottom w:val="none" w:sz="0" w:space="0" w:color="auto"/>
            <w:right w:val="none" w:sz="0" w:space="0" w:color="auto"/>
          </w:divBdr>
        </w:div>
        <w:div w:id="280722597">
          <w:marLeft w:val="0"/>
          <w:marRight w:val="0"/>
          <w:marTop w:val="0"/>
          <w:marBottom w:val="0"/>
          <w:divBdr>
            <w:top w:val="none" w:sz="0" w:space="0" w:color="auto"/>
            <w:left w:val="none" w:sz="0" w:space="0" w:color="auto"/>
            <w:bottom w:val="none" w:sz="0" w:space="0" w:color="auto"/>
            <w:right w:val="none" w:sz="0" w:space="0" w:color="auto"/>
          </w:divBdr>
        </w:div>
        <w:div w:id="89089182">
          <w:marLeft w:val="0"/>
          <w:marRight w:val="0"/>
          <w:marTop w:val="0"/>
          <w:marBottom w:val="0"/>
          <w:divBdr>
            <w:top w:val="none" w:sz="0" w:space="0" w:color="auto"/>
            <w:left w:val="none" w:sz="0" w:space="0" w:color="auto"/>
            <w:bottom w:val="none" w:sz="0" w:space="0" w:color="auto"/>
            <w:right w:val="none" w:sz="0" w:space="0" w:color="auto"/>
          </w:divBdr>
        </w:div>
        <w:div w:id="564992004">
          <w:marLeft w:val="0"/>
          <w:marRight w:val="0"/>
          <w:marTop w:val="0"/>
          <w:marBottom w:val="0"/>
          <w:divBdr>
            <w:top w:val="none" w:sz="0" w:space="0" w:color="auto"/>
            <w:left w:val="none" w:sz="0" w:space="0" w:color="auto"/>
            <w:bottom w:val="none" w:sz="0" w:space="0" w:color="auto"/>
            <w:right w:val="none" w:sz="0" w:space="0" w:color="auto"/>
          </w:divBdr>
        </w:div>
        <w:div w:id="1496064852">
          <w:marLeft w:val="0"/>
          <w:marRight w:val="0"/>
          <w:marTop w:val="0"/>
          <w:marBottom w:val="0"/>
          <w:divBdr>
            <w:top w:val="none" w:sz="0" w:space="0" w:color="auto"/>
            <w:left w:val="none" w:sz="0" w:space="0" w:color="auto"/>
            <w:bottom w:val="none" w:sz="0" w:space="0" w:color="auto"/>
            <w:right w:val="none" w:sz="0" w:space="0" w:color="auto"/>
          </w:divBdr>
        </w:div>
        <w:div w:id="1889879801">
          <w:marLeft w:val="0"/>
          <w:marRight w:val="0"/>
          <w:marTop w:val="0"/>
          <w:marBottom w:val="0"/>
          <w:divBdr>
            <w:top w:val="none" w:sz="0" w:space="0" w:color="auto"/>
            <w:left w:val="none" w:sz="0" w:space="0" w:color="auto"/>
            <w:bottom w:val="none" w:sz="0" w:space="0" w:color="auto"/>
            <w:right w:val="none" w:sz="0" w:space="0" w:color="auto"/>
          </w:divBdr>
        </w:div>
        <w:div w:id="1444416965">
          <w:marLeft w:val="0"/>
          <w:marRight w:val="0"/>
          <w:marTop w:val="0"/>
          <w:marBottom w:val="0"/>
          <w:divBdr>
            <w:top w:val="none" w:sz="0" w:space="0" w:color="auto"/>
            <w:left w:val="none" w:sz="0" w:space="0" w:color="auto"/>
            <w:bottom w:val="none" w:sz="0" w:space="0" w:color="auto"/>
            <w:right w:val="none" w:sz="0" w:space="0" w:color="auto"/>
          </w:divBdr>
        </w:div>
      </w:divsChild>
    </w:div>
    <w:div w:id="953629847">
      <w:bodyDiv w:val="1"/>
      <w:marLeft w:val="0"/>
      <w:marRight w:val="0"/>
      <w:marTop w:val="0"/>
      <w:marBottom w:val="0"/>
      <w:divBdr>
        <w:top w:val="none" w:sz="0" w:space="0" w:color="auto"/>
        <w:left w:val="none" w:sz="0" w:space="0" w:color="auto"/>
        <w:bottom w:val="none" w:sz="0" w:space="0" w:color="auto"/>
        <w:right w:val="none" w:sz="0" w:space="0" w:color="auto"/>
      </w:divBdr>
      <w:divsChild>
        <w:div w:id="1249197268">
          <w:marLeft w:val="0"/>
          <w:marRight w:val="0"/>
          <w:marTop w:val="0"/>
          <w:marBottom w:val="0"/>
          <w:divBdr>
            <w:top w:val="none" w:sz="0" w:space="0" w:color="auto"/>
            <w:left w:val="none" w:sz="0" w:space="0" w:color="auto"/>
            <w:bottom w:val="none" w:sz="0" w:space="0" w:color="auto"/>
            <w:right w:val="none" w:sz="0" w:space="0" w:color="auto"/>
          </w:divBdr>
        </w:div>
      </w:divsChild>
    </w:div>
    <w:div w:id="961305177">
      <w:bodyDiv w:val="1"/>
      <w:marLeft w:val="0"/>
      <w:marRight w:val="0"/>
      <w:marTop w:val="0"/>
      <w:marBottom w:val="0"/>
      <w:divBdr>
        <w:top w:val="none" w:sz="0" w:space="0" w:color="auto"/>
        <w:left w:val="none" w:sz="0" w:space="0" w:color="auto"/>
        <w:bottom w:val="none" w:sz="0" w:space="0" w:color="auto"/>
        <w:right w:val="none" w:sz="0" w:space="0" w:color="auto"/>
      </w:divBdr>
      <w:divsChild>
        <w:div w:id="214513599">
          <w:marLeft w:val="0"/>
          <w:marRight w:val="0"/>
          <w:marTop w:val="0"/>
          <w:marBottom w:val="0"/>
          <w:divBdr>
            <w:top w:val="none" w:sz="0" w:space="0" w:color="auto"/>
            <w:left w:val="none" w:sz="0" w:space="0" w:color="auto"/>
            <w:bottom w:val="none" w:sz="0" w:space="0" w:color="auto"/>
            <w:right w:val="none" w:sz="0" w:space="0" w:color="auto"/>
          </w:divBdr>
        </w:div>
      </w:divsChild>
    </w:div>
    <w:div w:id="972098444">
      <w:bodyDiv w:val="1"/>
      <w:marLeft w:val="0"/>
      <w:marRight w:val="0"/>
      <w:marTop w:val="0"/>
      <w:marBottom w:val="0"/>
      <w:divBdr>
        <w:top w:val="none" w:sz="0" w:space="0" w:color="auto"/>
        <w:left w:val="none" w:sz="0" w:space="0" w:color="auto"/>
        <w:bottom w:val="none" w:sz="0" w:space="0" w:color="auto"/>
        <w:right w:val="none" w:sz="0" w:space="0" w:color="auto"/>
      </w:divBdr>
      <w:divsChild>
        <w:div w:id="958492498">
          <w:marLeft w:val="0"/>
          <w:marRight w:val="0"/>
          <w:marTop w:val="0"/>
          <w:marBottom w:val="0"/>
          <w:divBdr>
            <w:top w:val="none" w:sz="0" w:space="0" w:color="auto"/>
            <w:left w:val="none" w:sz="0" w:space="0" w:color="auto"/>
            <w:bottom w:val="none" w:sz="0" w:space="0" w:color="auto"/>
            <w:right w:val="none" w:sz="0" w:space="0" w:color="auto"/>
          </w:divBdr>
        </w:div>
      </w:divsChild>
    </w:div>
    <w:div w:id="1148546231">
      <w:bodyDiv w:val="1"/>
      <w:marLeft w:val="0"/>
      <w:marRight w:val="0"/>
      <w:marTop w:val="0"/>
      <w:marBottom w:val="0"/>
      <w:divBdr>
        <w:top w:val="none" w:sz="0" w:space="0" w:color="auto"/>
        <w:left w:val="none" w:sz="0" w:space="0" w:color="auto"/>
        <w:bottom w:val="none" w:sz="0" w:space="0" w:color="auto"/>
        <w:right w:val="none" w:sz="0" w:space="0" w:color="auto"/>
      </w:divBdr>
      <w:divsChild>
        <w:div w:id="2095514673">
          <w:marLeft w:val="0"/>
          <w:marRight w:val="0"/>
          <w:marTop w:val="0"/>
          <w:marBottom w:val="0"/>
          <w:divBdr>
            <w:top w:val="none" w:sz="0" w:space="0" w:color="auto"/>
            <w:left w:val="none" w:sz="0" w:space="0" w:color="auto"/>
            <w:bottom w:val="none" w:sz="0" w:space="0" w:color="auto"/>
            <w:right w:val="none" w:sz="0" w:space="0" w:color="auto"/>
          </w:divBdr>
        </w:div>
      </w:divsChild>
    </w:div>
    <w:div w:id="1172839421">
      <w:bodyDiv w:val="1"/>
      <w:marLeft w:val="0"/>
      <w:marRight w:val="0"/>
      <w:marTop w:val="0"/>
      <w:marBottom w:val="0"/>
      <w:divBdr>
        <w:top w:val="none" w:sz="0" w:space="0" w:color="auto"/>
        <w:left w:val="none" w:sz="0" w:space="0" w:color="auto"/>
        <w:bottom w:val="none" w:sz="0" w:space="0" w:color="auto"/>
        <w:right w:val="none" w:sz="0" w:space="0" w:color="auto"/>
      </w:divBdr>
      <w:divsChild>
        <w:div w:id="45690288">
          <w:marLeft w:val="0"/>
          <w:marRight w:val="0"/>
          <w:marTop w:val="0"/>
          <w:marBottom w:val="0"/>
          <w:divBdr>
            <w:top w:val="none" w:sz="0" w:space="0" w:color="auto"/>
            <w:left w:val="none" w:sz="0" w:space="0" w:color="auto"/>
            <w:bottom w:val="none" w:sz="0" w:space="0" w:color="auto"/>
            <w:right w:val="none" w:sz="0" w:space="0" w:color="auto"/>
          </w:divBdr>
        </w:div>
      </w:divsChild>
    </w:div>
    <w:div w:id="1303972274">
      <w:bodyDiv w:val="1"/>
      <w:marLeft w:val="0"/>
      <w:marRight w:val="0"/>
      <w:marTop w:val="0"/>
      <w:marBottom w:val="0"/>
      <w:divBdr>
        <w:top w:val="none" w:sz="0" w:space="0" w:color="auto"/>
        <w:left w:val="none" w:sz="0" w:space="0" w:color="auto"/>
        <w:bottom w:val="none" w:sz="0" w:space="0" w:color="auto"/>
        <w:right w:val="none" w:sz="0" w:space="0" w:color="auto"/>
      </w:divBdr>
      <w:divsChild>
        <w:div w:id="881869627">
          <w:marLeft w:val="0"/>
          <w:marRight w:val="0"/>
          <w:marTop w:val="0"/>
          <w:marBottom w:val="0"/>
          <w:divBdr>
            <w:top w:val="none" w:sz="0" w:space="0" w:color="auto"/>
            <w:left w:val="none" w:sz="0" w:space="0" w:color="auto"/>
            <w:bottom w:val="none" w:sz="0" w:space="0" w:color="auto"/>
            <w:right w:val="none" w:sz="0" w:space="0" w:color="auto"/>
          </w:divBdr>
        </w:div>
      </w:divsChild>
    </w:div>
    <w:div w:id="1398938264">
      <w:bodyDiv w:val="1"/>
      <w:marLeft w:val="0"/>
      <w:marRight w:val="0"/>
      <w:marTop w:val="0"/>
      <w:marBottom w:val="0"/>
      <w:divBdr>
        <w:top w:val="none" w:sz="0" w:space="0" w:color="auto"/>
        <w:left w:val="none" w:sz="0" w:space="0" w:color="auto"/>
        <w:bottom w:val="none" w:sz="0" w:space="0" w:color="auto"/>
        <w:right w:val="none" w:sz="0" w:space="0" w:color="auto"/>
      </w:divBdr>
      <w:divsChild>
        <w:div w:id="1536700808">
          <w:marLeft w:val="0"/>
          <w:marRight w:val="0"/>
          <w:marTop w:val="0"/>
          <w:marBottom w:val="0"/>
          <w:divBdr>
            <w:top w:val="none" w:sz="0" w:space="0" w:color="auto"/>
            <w:left w:val="none" w:sz="0" w:space="0" w:color="auto"/>
            <w:bottom w:val="none" w:sz="0" w:space="0" w:color="auto"/>
            <w:right w:val="none" w:sz="0" w:space="0" w:color="auto"/>
          </w:divBdr>
        </w:div>
      </w:divsChild>
    </w:div>
    <w:div w:id="1408765630">
      <w:bodyDiv w:val="1"/>
      <w:marLeft w:val="0"/>
      <w:marRight w:val="0"/>
      <w:marTop w:val="0"/>
      <w:marBottom w:val="0"/>
      <w:divBdr>
        <w:top w:val="none" w:sz="0" w:space="0" w:color="auto"/>
        <w:left w:val="none" w:sz="0" w:space="0" w:color="auto"/>
        <w:bottom w:val="none" w:sz="0" w:space="0" w:color="auto"/>
        <w:right w:val="none" w:sz="0" w:space="0" w:color="auto"/>
      </w:divBdr>
    </w:div>
    <w:div w:id="1454010753">
      <w:bodyDiv w:val="1"/>
      <w:marLeft w:val="0"/>
      <w:marRight w:val="0"/>
      <w:marTop w:val="0"/>
      <w:marBottom w:val="0"/>
      <w:divBdr>
        <w:top w:val="none" w:sz="0" w:space="0" w:color="auto"/>
        <w:left w:val="none" w:sz="0" w:space="0" w:color="auto"/>
        <w:bottom w:val="none" w:sz="0" w:space="0" w:color="auto"/>
        <w:right w:val="none" w:sz="0" w:space="0" w:color="auto"/>
      </w:divBdr>
      <w:divsChild>
        <w:div w:id="1778057935">
          <w:marLeft w:val="0"/>
          <w:marRight w:val="0"/>
          <w:marTop w:val="0"/>
          <w:marBottom w:val="0"/>
          <w:divBdr>
            <w:top w:val="none" w:sz="0" w:space="0" w:color="auto"/>
            <w:left w:val="none" w:sz="0" w:space="0" w:color="auto"/>
            <w:bottom w:val="none" w:sz="0" w:space="0" w:color="auto"/>
            <w:right w:val="none" w:sz="0" w:space="0" w:color="auto"/>
          </w:divBdr>
        </w:div>
      </w:divsChild>
    </w:div>
    <w:div w:id="1566527150">
      <w:bodyDiv w:val="1"/>
      <w:marLeft w:val="0"/>
      <w:marRight w:val="0"/>
      <w:marTop w:val="0"/>
      <w:marBottom w:val="0"/>
      <w:divBdr>
        <w:top w:val="none" w:sz="0" w:space="0" w:color="auto"/>
        <w:left w:val="none" w:sz="0" w:space="0" w:color="auto"/>
        <w:bottom w:val="none" w:sz="0" w:space="0" w:color="auto"/>
        <w:right w:val="none" w:sz="0" w:space="0" w:color="auto"/>
      </w:divBdr>
      <w:divsChild>
        <w:div w:id="98375270">
          <w:marLeft w:val="0"/>
          <w:marRight w:val="0"/>
          <w:marTop w:val="0"/>
          <w:marBottom w:val="0"/>
          <w:divBdr>
            <w:top w:val="none" w:sz="0" w:space="0" w:color="auto"/>
            <w:left w:val="none" w:sz="0" w:space="0" w:color="auto"/>
            <w:bottom w:val="none" w:sz="0" w:space="0" w:color="auto"/>
            <w:right w:val="none" w:sz="0" w:space="0" w:color="auto"/>
          </w:divBdr>
        </w:div>
      </w:divsChild>
    </w:div>
    <w:div w:id="1624456167">
      <w:bodyDiv w:val="1"/>
      <w:marLeft w:val="0"/>
      <w:marRight w:val="0"/>
      <w:marTop w:val="0"/>
      <w:marBottom w:val="0"/>
      <w:divBdr>
        <w:top w:val="none" w:sz="0" w:space="0" w:color="auto"/>
        <w:left w:val="none" w:sz="0" w:space="0" w:color="auto"/>
        <w:bottom w:val="none" w:sz="0" w:space="0" w:color="auto"/>
        <w:right w:val="none" w:sz="0" w:space="0" w:color="auto"/>
      </w:divBdr>
      <w:divsChild>
        <w:div w:id="923494890">
          <w:marLeft w:val="0"/>
          <w:marRight w:val="0"/>
          <w:marTop w:val="0"/>
          <w:marBottom w:val="0"/>
          <w:divBdr>
            <w:top w:val="none" w:sz="0" w:space="0" w:color="auto"/>
            <w:left w:val="none" w:sz="0" w:space="0" w:color="auto"/>
            <w:bottom w:val="none" w:sz="0" w:space="0" w:color="auto"/>
            <w:right w:val="none" w:sz="0" w:space="0" w:color="auto"/>
          </w:divBdr>
        </w:div>
      </w:divsChild>
    </w:div>
    <w:div w:id="1714694882">
      <w:bodyDiv w:val="1"/>
      <w:marLeft w:val="0"/>
      <w:marRight w:val="0"/>
      <w:marTop w:val="0"/>
      <w:marBottom w:val="0"/>
      <w:divBdr>
        <w:top w:val="none" w:sz="0" w:space="0" w:color="auto"/>
        <w:left w:val="none" w:sz="0" w:space="0" w:color="auto"/>
        <w:bottom w:val="none" w:sz="0" w:space="0" w:color="auto"/>
        <w:right w:val="none" w:sz="0" w:space="0" w:color="auto"/>
      </w:divBdr>
      <w:divsChild>
        <w:div w:id="2128114328">
          <w:marLeft w:val="0"/>
          <w:marRight w:val="0"/>
          <w:marTop w:val="0"/>
          <w:marBottom w:val="0"/>
          <w:divBdr>
            <w:top w:val="none" w:sz="0" w:space="0" w:color="auto"/>
            <w:left w:val="none" w:sz="0" w:space="0" w:color="auto"/>
            <w:bottom w:val="none" w:sz="0" w:space="0" w:color="auto"/>
            <w:right w:val="none" w:sz="0" w:space="0" w:color="auto"/>
          </w:divBdr>
        </w:div>
      </w:divsChild>
    </w:div>
    <w:div w:id="1760129308">
      <w:bodyDiv w:val="1"/>
      <w:marLeft w:val="0"/>
      <w:marRight w:val="0"/>
      <w:marTop w:val="0"/>
      <w:marBottom w:val="0"/>
      <w:divBdr>
        <w:top w:val="none" w:sz="0" w:space="0" w:color="auto"/>
        <w:left w:val="none" w:sz="0" w:space="0" w:color="auto"/>
        <w:bottom w:val="none" w:sz="0" w:space="0" w:color="auto"/>
        <w:right w:val="none" w:sz="0" w:space="0" w:color="auto"/>
      </w:divBdr>
    </w:div>
    <w:div w:id="1824617699">
      <w:bodyDiv w:val="1"/>
      <w:marLeft w:val="0"/>
      <w:marRight w:val="0"/>
      <w:marTop w:val="0"/>
      <w:marBottom w:val="0"/>
      <w:divBdr>
        <w:top w:val="none" w:sz="0" w:space="0" w:color="auto"/>
        <w:left w:val="none" w:sz="0" w:space="0" w:color="auto"/>
        <w:bottom w:val="none" w:sz="0" w:space="0" w:color="auto"/>
        <w:right w:val="none" w:sz="0" w:space="0" w:color="auto"/>
      </w:divBdr>
      <w:divsChild>
        <w:div w:id="675228988">
          <w:marLeft w:val="0"/>
          <w:marRight w:val="0"/>
          <w:marTop w:val="0"/>
          <w:marBottom w:val="0"/>
          <w:divBdr>
            <w:top w:val="none" w:sz="0" w:space="0" w:color="auto"/>
            <w:left w:val="none" w:sz="0" w:space="0" w:color="auto"/>
            <w:bottom w:val="none" w:sz="0" w:space="0" w:color="auto"/>
            <w:right w:val="none" w:sz="0" w:space="0" w:color="auto"/>
          </w:divBdr>
        </w:div>
      </w:divsChild>
    </w:div>
    <w:div w:id="1947730093">
      <w:bodyDiv w:val="1"/>
      <w:marLeft w:val="0"/>
      <w:marRight w:val="0"/>
      <w:marTop w:val="0"/>
      <w:marBottom w:val="0"/>
      <w:divBdr>
        <w:top w:val="none" w:sz="0" w:space="0" w:color="auto"/>
        <w:left w:val="none" w:sz="0" w:space="0" w:color="auto"/>
        <w:bottom w:val="none" w:sz="0" w:space="0" w:color="auto"/>
        <w:right w:val="none" w:sz="0" w:space="0" w:color="auto"/>
      </w:divBdr>
      <w:divsChild>
        <w:div w:id="82123946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ici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ici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CFFA64-E72B-440F-B86E-38398D921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31</Pages>
  <Words>19735</Words>
  <Characters>112493</Characters>
  <Application>Microsoft Office Word</Application>
  <DocSecurity>0</DocSecurity>
  <Lines>937</Lines>
  <Paragraphs>263</Paragraphs>
  <ScaleCrop>false</ScaleCrop>
  <Company/>
  <LinksUpToDate>false</LinksUpToDate>
  <CharactersWithSpaces>131965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Anicet R. Blanch</cp:lastModifiedBy>
  <cp:revision>82</cp:revision>
  <dcterms:created xsi:type="dcterms:W3CDTF">2026-06-04T09:59:00Z</dcterms:created>
  <dcterms:modified xsi:type="dcterms:W3CDTF">2026-06-08T16:40:00Z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zotero-version="9.0.4"&gt;&lt;session id="bFB1dZyc"/&gt;&lt;style id="http://www.zotero.org/styles/elsevier-harvard" hasBibliography="1" bibliographyStyleHasBeenSet="1"/&gt;&lt;prefs&gt;&lt;pref name="fieldType" value="Field"/&gt;&lt;/prefs&gt;&lt;/data&gt;</vt:lpwstr>
  </property>
</Properties>
</file>